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29" w:rsidRPr="00695529" w:rsidRDefault="00695529" w:rsidP="00695529">
      <w:pPr>
        <w:spacing w:after="72" w:line="264" w:lineRule="atLeast"/>
        <w:jc w:val="center"/>
        <w:outlineLvl w:val="1"/>
        <w:rPr>
          <w:rFonts w:ascii="Arial" w:eastAsia="Times New Roman" w:hAnsi="Arial" w:cs="Arial"/>
          <w:color w:val="403F3C"/>
          <w:sz w:val="60"/>
          <w:szCs w:val="60"/>
        </w:rPr>
      </w:pPr>
      <w:r w:rsidRPr="00695529">
        <w:rPr>
          <w:rFonts w:ascii="Arial" w:eastAsia="Times New Roman" w:hAnsi="Arial" w:cs="Arial"/>
          <w:color w:val="403F3C"/>
          <w:sz w:val="60"/>
          <w:szCs w:val="60"/>
        </w:rPr>
        <w:t>GSB 88® SDS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w:t>
      </w:r>
      <w:proofErr w:type="gramStart"/>
      <w:r w:rsidRPr="00695529">
        <w:rPr>
          <w:rFonts w:ascii="Arial" w:eastAsia="Times New Roman" w:hAnsi="Arial" w:cs="Arial"/>
          <w:b/>
          <w:bCs/>
          <w:color w:val="403F3C"/>
          <w:sz w:val="24"/>
          <w:szCs w:val="24"/>
        </w:rPr>
        <w:t>  1</w:t>
      </w:r>
      <w:proofErr w:type="gramEnd"/>
      <w:r w:rsidRPr="00695529">
        <w:rPr>
          <w:rFonts w:ascii="Arial" w:eastAsia="Times New Roman" w:hAnsi="Arial" w:cs="Arial"/>
          <w:b/>
          <w:bCs/>
          <w:color w:val="403F3C"/>
          <w:sz w:val="24"/>
          <w:szCs w:val="24"/>
        </w:rPr>
        <w:t>. PRODUCT IDENTIFICATION / COMPANY INFORMATION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Trade Name:                        GSB-88®</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19"/>
          <w:szCs w:val="19"/>
        </w:rPr>
        <w:t xml:space="preserve">Synonyms: Asphalt Emulsion, GSB-88, Asphalt Sealer, Fog Seal, Cationic </w:t>
      </w:r>
      <w:proofErr w:type="spellStart"/>
      <w:r w:rsidRPr="00695529">
        <w:rPr>
          <w:rFonts w:ascii="Arial" w:eastAsia="Times New Roman" w:hAnsi="Arial" w:cs="Arial"/>
          <w:color w:val="403F3C"/>
          <w:sz w:val="19"/>
          <w:szCs w:val="19"/>
        </w:rPr>
        <w:t>Bitumic</w:t>
      </w:r>
      <w:proofErr w:type="spellEnd"/>
      <w:r w:rsidRPr="00695529">
        <w:rPr>
          <w:rFonts w:ascii="Arial" w:eastAsia="Times New Roman" w:hAnsi="Arial" w:cs="Arial"/>
          <w:color w:val="403F3C"/>
          <w:sz w:val="19"/>
          <w:szCs w:val="19"/>
        </w:rPr>
        <w:t xml:space="preserve"> Emulsion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Uses and uses advised against:  USE-Asphalt Sealer, fog seal.</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Manufactured b: Asphalt Systems Inc... 2775 w 1500 s, Salt lake City, UT  </w:t>
      </w:r>
      <w:proofErr w:type="gramStart"/>
      <w:r w:rsidRPr="00695529">
        <w:rPr>
          <w:rFonts w:ascii="Arial" w:eastAsia="Times New Roman" w:hAnsi="Arial" w:cs="Arial"/>
          <w:color w:val="403F3C"/>
          <w:sz w:val="24"/>
          <w:szCs w:val="24"/>
        </w:rPr>
        <w:t>84104  phone</w:t>
      </w:r>
      <w:proofErr w:type="gramEnd"/>
      <w:r w:rsidRPr="00695529">
        <w:rPr>
          <w:rFonts w:ascii="Arial" w:eastAsia="Times New Roman" w:hAnsi="Arial" w:cs="Arial"/>
          <w:color w:val="403F3C"/>
          <w:sz w:val="24"/>
          <w:szCs w:val="24"/>
        </w:rPr>
        <w:t xml:space="preserve"> (801)972-2757</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xml:space="preserve">Chemical Emergency: Spill, Leak, Fire, Exposure, or </w:t>
      </w:r>
      <w:proofErr w:type="spellStart"/>
      <w:r w:rsidRPr="00695529">
        <w:rPr>
          <w:rFonts w:ascii="Arial" w:eastAsia="Times New Roman" w:hAnsi="Arial" w:cs="Arial"/>
          <w:color w:val="403F3C"/>
          <w:sz w:val="24"/>
          <w:szCs w:val="24"/>
        </w:rPr>
        <w:t>Acccident</w:t>
      </w:r>
      <w:proofErr w:type="spellEnd"/>
      <w:r w:rsidRPr="00695529">
        <w:rPr>
          <w:rFonts w:ascii="Arial" w:eastAsia="Times New Roman" w:hAnsi="Arial" w:cs="Arial"/>
          <w:color w:val="403F3C"/>
          <w:sz w:val="24"/>
          <w:szCs w:val="24"/>
        </w:rPr>
        <w:t xml:space="preserve"> Call </w:t>
      </w:r>
      <w:proofErr w:type="spellStart"/>
      <w:r w:rsidRPr="00695529">
        <w:rPr>
          <w:rFonts w:ascii="Arial" w:eastAsia="Times New Roman" w:hAnsi="Arial" w:cs="Arial"/>
          <w:color w:val="403F3C"/>
          <w:sz w:val="24"/>
          <w:szCs w:val="24"/>
        </w:rPr>
        <w:t>Chemtrec</w:t>
      </w:r>
      <w:proofErr w:type="spellEnd"/>
      <w:r w:rsidRPr="00695529">
        <w:rPr>
          <w:rFonts w:ascii="Arial" w:eastAsia="Times New Roman" w:hAnsi="Arial" w:cs="Arial"/>
          <w:color w:val="403F3C"/>
          <w:sz w:val="24"/>
          <w:szCs w:val="24"/>
        </w:rPr>
        <w:t xml:space="preserve"> Day or night, Within USA and Canada 800-824-9300 CCN1842 or 703-537-3887 (collect calls accepted)</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2: Hazard Identification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GHS Classification (s)        </w:t>
      </w:r>
      <w:r w:rsidRPr="00695529">
        <w:rPr>
          <w:rFonts w:ascii="Arial" w:eastAsia="Times New Roman" w:hAnsi="Arial" w:cs="Arial"/>
          <w:color w:val="403F3C"/>
          <w:sz w:val="18"/>
          <w:szCs w:val="18"/>
        </w:rPr>
        <w:t>Carcinogenicity: Category 2</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Serious Eye Damage / Eye irritation: Category 2b</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Aquatic Toxicity (chronic): Category 3</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Skin Corrosion / Irritation: Category3</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Label Elements: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Signal Word:        Warning</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Pictogram: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Hazard Statement (s)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w:t>
      </w:r>
      <w:r w:rsidRPr="00695529">
        <w:rPr>
          <w:rFonts w:ascii="Arial" w:eastAsia="Times New Roman" w:hAnsi="Arial" w:cs="Arial"/>
          <w:color w:val="403F3C"/>
          <w:sz w:val="18"/>
          <w:szCs w:val="18"/>
        </w:rPr>
        <w:t>Causes Mild Skin Irritation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Causes Eye irritation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Suspected of Causing Cancer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Harmful to Aquatic Life with long lasting effects.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Prevention Statement (s)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Do not handle until all safety precautions have been read and understood.</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Do not get in eyes, on skin, or on clothing</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Wash Thoroughly after handling.</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Avoid release to the environment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Use personal protective equipment as required.</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lastRenderedPageBreak/>
        <w:t>Response Statement (s)        </w:t>
      </w:r>
      <w:r w:rsidRPr="00695529">
        <w:rPr>
          <w:rFonts w:ascii="Arial" w:eastAsia="Times New Roman" w:hAnsi="Arial" w:cs="Arial"/>
          <w:color w:val="403F3C"/>
          <w:sz w:val="18"/>
          <w:szCs w:val="18"/>
        </w:rPr>
        <w:t>IF IN EYES: Rinse cautiously with water for several minutes. Remove contact lenses, if present and easy to do. Continue rinsing.</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IF exposed or concerned: Get medical advice / attention.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IF eye irritation persists: Get medical advice / attention.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Storage Statement (s)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Store in a well-ventilated place.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Store locked up.</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Disposal Statement (s)</w:t>
      </w:r>
      <w:r w:rsidRPr="00695529">
        <w:rPr>
          <w:rFonts w:ascii="Arial" w:eastAsia="Times New Roman" w:hAnsi="Arial" w:cs="Arial"/>
          <w:color w:val="403F3C"/>
          <w:sz w:val="18"/>
          <w:szCs w:val="18"/>
        </w:rPr>
        <w:t>          Dispose of contents / container in accordance with relevant regulations</w:t>
      </w:r>
    </w:p>
    <w:p w:rsidR="00695529" w:rsidRPr="00695529" w:rsidRDefault="00695529" w:rsidP="00695529">
      <w:pPr>
        <w:spacing w:after="0" w:line="336" w:lineRule="atLeast"/>
        <w:ind w:left="2160" w:hanging="2160"/>
        <w:rPr>
          <w:rFonts w:ascii="Arial" w:eastAsia="Times New Roman" w:hAnsi="Arial" w:cs="Arial"/>
          <w:color w:val="403F3C"/>
          <w:sz w:val="24"/>
          <w:szCs w:val="24"/>
        </w:rPr>
      </w:pPr>
      <w:r w:rsidRPr="00695529">
        <w:rPr>
          <w:rFonts w:ascii="Arial" w:eastAsia="Times New Roman" w:hAnsi="Arial" w:cs="Arial"/>
          <w:b/>
          <w:bCs/>
          <w:color w:val="403F3C"/>
          <w:sz w:val="18"/>
          <w:szCs w:val="18"/>
        </w:rPr>
        <w:t>Other Hazards                       </w:t>
      </w:r>
      <w:r w:rsidRPr="00695529">
        <w:rPr>
          <w:rFonts w:ascii="Arial" w:eastAsia="Times New Roman" w:hAnsi="Arial" w:cs="Arial"/>
          <w:color w:val="403F3C"/>
          <w:sz w:val="18"/>
          <w:szCs w:val="18"/>
        </w:rPr>
        <w:t>Avoid direct contact with heated material above 90</w:t>
      </w:r>
      <w:r w:rsidRPr="00695529">
        <w:rPr>
          <w:rFonts w:ascii="Arial" w:eastAsia="Times New Roman" w:hAnsi="Arial" w:cs="Arial"/>
          <w:color w:val="403F3C"/>
          <w:sz w:val="14"/>
          <w:szCs w:val="14"/>
          <w:vertAlign w:val="superscript"/>
        </w:rPr>
        <w:t>o</w:t>
      </w:r>
      <w:r w:rsidRPr="00695529">
        <w:rPr>
          <w:rFonts w:ascii="Arial" w:eastAsia="Times New Roman" w:hAnsi="Arial" w:cs="Arial"/>
          <w:color w:val="403F3C"/>
          <w:sz w:val="18"/>
          <w:szCs w:val="18"/>
        </w:rPr>
        <w:t>C (190 F) Once cured, the inert solid material is considered non-hazardous</w:t>
      </w:r>
      <w:r w:rsidRPr="00695529">
        <w:rPr>
          <w:rFonts w:ascii="Arial" w:eastAsia="Times New Roman" w:hAnsi="Arial" w:cs="Arial"/>
          <w:b/>
          <w:bCs/>
          <w:color w:val="403F3C"/>
          <w:sz w:val="18"/>
          <w:szCs w:val="18"/>
        </w:rPr>
        <w: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Please see package labelling or manufacturer’s literature for more detail on usage, handling, storage and disposal under different applications</w:t>
      </w:r>
      <w:r w:rsidRPr="00695529">
        <w:rPr>
          <w:rFonts w:ascii="Arial" w:eastAsia="Times New Roman" w:hAnsi="Arial" w:cs="Arial"/>
          <w:b/>
          <w:bCs/>
          <w:color w:val="403F3C"/>
          <w:sz w:val="18"/>
          <w:szCs w:val="18"/>
        </w:rPr>
        <w: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Hazardous Materials Identification System (HMIS)</w:t>
      </w:r>
    </w:p>
    <w:p w:rsidR="00695529" w:rsidRPr="00695529" w:rsidRDefault="00695529" w:rsidP="00695529">
      <w:pPr>
        <w:spacing w:after="12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Health                   Flammability                     Reactivity                            Basis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1                                              0                                   0                                         0</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proofErr w:type="gramStart"/>
      <w:r w:rsidRPr="00695529">
        <w:rPr>
          <w:rFonts w:ascii="Arial" w:eastAsia="Times New Roman" w:hAnsi="Arial" w:cs="Arial"/>
          <w:b/>
          <w:bCs/>
          <w:color w:val="403F3C"/>
          <w:sz w:val="24"/>
          <w:szCs w:val="24"/>
        </w:rPr>
        <w:t>Section  3</w:t>
      </w:r>
      <w:proofErr w:type="gramEnd"/>
      <w:r w:rsidRPr="00695529">
        <w:rPr>
          <w:rFonts w:ascii="Arial" w:eastAsia="Times New Roman" w:hAnsi="Arial" w:cs="Arial"/>
          <w:b/>
          <w:bCs/>
          <w:color w:val="403F3C"/>
          <w:sz w:val="24"/>
          <w:szCs w:val="24"/>
        </w:rPr>
        <w:t xml:space="preserve">      Composition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Component Name (s)                                    CAS Registry No.                                    Concentration (%)                        Classification: GHS                  Risk</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Bitumen                                                                8052-42-</w:t>
      </w:r>
      <w:proofErr w:type="gramStart"/>
      <w:r w:rsidRPr="00695529">
        <w:rPr>
          <w:rFonts w:ascii="Arial" w:eastAsia="Times New Roman" w:hAnsi="Arial" w:cs="Arial"/>
          <w:color w:val="403F3C"/>
          <w:sz w:val="24"/>
          <w:szCs w:val="24"/>
        </w:rPr>
        <w:t>4  EC</w:t>
      </w:r>
      <w:proofErr w:type="gramEnd"/>
      <w:r w:rsidRPr="00695529">
        <w:rPr>
          <w:rFonts w:ascii="Arial" w:eastAsia="Times New Roman" w:hAnsi="Arial" w:cs="Arial"/>
          <w:color w:val="403F3C"/>
          <w:sz w:val="24"/>
          <w:szCs w:val="24"/>
        </w:rPr>
        <w:t>: 232-490-9                             35 - 40                                          Not Available                         Not Available</w:t>
      </w:r>
    </w:p>
    <w:p w:rsidR="00695529" w:rsidRPr="00695529" w:rsidRDefault="00695529" w:rsidP="00695529">
      <w:pPr>
        <w:spacing w:after="300" w:line="336" w:lineRule="atLeast"/>
        <w:rPr>
          <w:rFonts w:ascii="Arial" w:eastAsia="Times New Roman" w:hAnsi="Arial" w:cs="Arial"/>
          <w:color w:val="403F3C"/>
          <w:sz w:val="24"/>
          <w:szCs w:val="24"/>
        </w:rPr>
      </w:pPr>
      <w:proofErr w:type="spellStart"/>
      <w:r w:rsidRPr="00695529">
        <w:rPr>
          <w:rFonts w:ascii="Arial" w:eastAsia="Times New Roman" w:hAnsi="Arial" w:cs="Arial"/>
          <w:color w:val="403F3C"/>
          <w:sz w:val="24"/>
          <w:szCs w:val="24"/>
        </w:rPr>
        <w:t>Gilsonite</w:t>
      </w:r>
      <w:proofErr w:type="spellEnd"/>
      <w:r w:rsidRPr="00695529">
        <w:rPr>
          <w:rFonts w:ascii="Arial" w:eastAsia="Times New Roman" w:hAnsi="Arial" w:cs="Arial"/>
          <w:color w:val="403F3C"/>
          <w:sz w:val="24"/>
          <w:szCs w:val="24"/>
        </w:rPr>
        <w:t xml:space="preserve">                                                              12002-43-6   EC</w:t>
      </w:r>
      <w:proofErr w:type="gramStart"/>
      <w:r w:rsidRPr="00695529">
        <w:rPr>
          <w:rFonts w:ascii="Arial" w:eastAsia="Times New Roman" w:hAnsi="Arial" w:cs="Arial"/>
          <w:color w:val="403F3C"/>
          <w:sz w:val="24"/>
          <w:szCs w:val="24"/>
        </w:rPr>
        <w:t>:601</w:t>
      </w:r>
      <w:proofErr w:type="gramEnd"/>
      <w:r w:rsidRPr="00695529">
        <w:rPr>
          <w:rFonts w:ascii="Arial" w:eastAsia="Times New Roman" w:hAnsi="Arial" w:cs="Arial"/>
          <w:color w:val="403F3C"/>
          <w:sz w:val="24"/>
          <w:szCs w:val="24"/>
        </w:rPr>
        <w:t>-660-8                            12 - 20                                          Not Available                         Not Available</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xml:space="preserve">Aromatic Oil                                                       contact Manufacture                                  Proprietary                                   </w:t>
      </w:r>
      <w:proofErr w:type="spellStart"/>
      <w:r w:rsidRPr="00695529">
        <w:rPr>
          <w:rFonts w:ascii="Arial" w:eastAsia="Times New Roman" w:hAnsi="Arial" w:cs="Arial"/>
          <w:color w:val="403F3C"/>
          <w:sz w:val="24"/>
          <w:szCs w:val="24"/>
        </w:rPr>
        <w:t>Carc</w:t>
      </w:r>
      <w:proofErr w:type="spellEnd"/>
      <w:r w:rsidRPr="00695529">
        <w:rPr>
          <w:rFonts w:ascii="Arial" w:eastAsia="Times New Roman" w:hAnsi="Arial" w:cs="Arial"/>
          <w:color w:val="403F3C"/>
          <w:sz w:val="24"/>
          <w:szCs w:val="24"/>
        </w:rPr>
        <w:t xml:space="preserve">. 2 H351                           </w:t>
      </w:r>
      <w:proofErr w:type="spellStart"/>
      <w:proofErr w:type="gramStart"/>
      <w:r w:rsidRPr="00695529">
        <w:rPr>
          <w:rFonts w:ascii="Arial" w:eastAsia="Times New Roman" w:hAnsi="Arial" w:cs="Arial"/>
          <w:color w:val="403F3C"/>
          <w:sz w:val="24"/>
          <w:szCs w:val="24"/>
        </w:rPr>
        <w:t>Carc</w:t>
      </w:r>
      <w:proofErr w:type="spellEnd"/>
      <w:r w:rsidRPr="00695529">
        <w:rPr>
          <w:rFonts w:ascii="Arial" w:eastAsia="Times New Roman" w:hAnsi="Arial" w:cs="Arial"/>
          <w:color w:val="403F3C"/>
          <w:sz w:val="24"/>
          <w:szCs w:val="24"/>
        </w:rPr>
        <w:t>.;</w:t>
      </w:r>
      <w:proofErr w:type="gramEnd"/>
      <w:r w:rsidRPr="00695529">
        <w:rPr>
          <w:rFonts w:ascii="Arial" w:eastAsia="Times New Roman" w:hAnsi="Arial" w:cs="Arial"/>
          <w:color w:val="403F3C"/>
          <w:sz w:val="24"/>
          <w:szCs w:val="24"/>
        </w:rPr>
        <w:t xml:space="preserve"> R40</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Water                                                                   7732-185 EC: 231-791-2                                  38-40                                          Not Available                         Not Available</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lastRenderedPageBreak/>
        <w:t>Emulsifier                                                          Contact Manufacture                                      proprietary                                   Not Available                        Not Available</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Caution: there maybe the possibility of volatile vapors developing under extreme heat conditions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w:t>
      </w:r>
      <w:proofErr w:type="gramStart"/>
      <w:r w:rsidRPr="00695529">
        <w:rPr>
          <w:rFonts w:ascii="Arial" w:eastAsia="Times New Roman" w:hAnsi="Arial" w:cs="Arial"/>
          <w:b/>
          <w:bCs/>
          <w:color w:val="403F3C"/>
          <w:sz w:val="24"/>
          <w:szCs w:val="24"/>
        </w:rPr>
        <w:t>  4</w:t>
      </w:r>
      <w:proofErr w:type="gramEnd"/>
      <w:r w:rsidRPr="00695529">
        <w:rPr>
          <w:rFonts w:ascii="Arial" w:eastAsia="Times New Roman" w:hAnsi="Arial" w:cs="Arial"/>
          <w:b/>
          <w:bCs/>
          <w:color w:val="403F3C"/>
          <w:sz w:val="24"/>
          <w:szCs w:val="24"/>
        </w:rPr>
        <w:t>.      FIRST AID MEASURES</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Eye Contact:</w:t>
      </w:r>
      <w:r w:rsidRPr="00695529">
        <w:rPr>
          <w:rFonts w:ascii="Arial" w:eastAsia="Times New Roman" w:hAnsi="Arial" w:cs="Arial"/>
          <w:color w:val="403F3C"/>
          <w:sz w:val="18"/>
          <w:szCs w:val="18"/>
        </w:rPr>
        <w:t>          If contact with hot material occurs, flush gently with cold running water. Adhered material should only be removed under the medical direction. Seek immediate medical advice.</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Skin Contact:</w:t>
      </w:r>
      <w:r w:rsidRPr="00695529">
        <w:rPr>
          <w:rFonts w:ascii="Arial" w:eastAsia="Times New Roman" w:hAnsi="Arial" w:cs="Arial"/>
          <w:color w:val="403F3C"/>
          <w:sz w:val="18"/>
          <w:szCs w:val="18"/>
        </w:rPr>
        <w:t>        If contact with hot material occurs, drench area immediately with cold water, do not attempt to remove material adhered to skin. Seek immediate medical attention.</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Inhalation:            </w:t>
      </w:r>
      <w:r w:rsidRPr="00695529">
        <w:rPr>
          <w:rFonts w:ascii="Arial" w:eastAsia="Times New Roman" w:hAnsi="Arial" w:cs="Arial"/>
          <w:color w:val="403F3C"/>
          <w:sz w:val="18"/>
          <w:szCs w:val="18"/>
        </w:rPr>
        <w:t xml:space="preserve">If inhaled, remove from contaminated area. To protect rescuer, use a Type </w:t>
      </w:r>
      <w:proofErr w:type="gramStart"/>
      <w:r w:rsidRPr="00695529">
        <w:rPr>
          <w:rFonts w:ascii="Arial" w:eastAsia="Times New Roman" w:hAnsi="Arial" w:cs="Arial"/>
          <w:color w:val="403F3C"/>
          <w:sz w:val="18"/>
          <w:szCs w:val="18"/>
        </w:rPr>
        <w:t>A</w:t>
      </w:r>
      <w:proofErr w:type="gramEnd"/>
      <w:r w:rsidRPr="00695529">
        <w:rPr>
          <w:rFonts w:ascii="Arial" w:eastAsia="Times New Roman" w:hAnsi="Arial" w:cs="Arial"/>
          <w:color w:val="403F3C"/>
          <w:sz w:val="18"/>
          <w:szCs w:val="18"/>
        </w:rPr>
        <w:t xml:space="preserve"> (organic vapor) respirator or an air-line respirator (in poorly ventilated areas). Apply artificial respiration if not breathing</w:t>
      </w:r>
      <w:r w:rsidRPr="00695529">
        <w:rPr>
          <w:rFonts w:ascii="Arial" w:eastAsia="Times New Roman" w:hAnsi="Arial" w:cs="Arial"/>
          <w:b/>
          <w:bCs/>
          <w:color w:val="403F3C"/>
          <w:sz w:val="18"/>
          <w:szCs w:val="18"/>
        </w:rPr>
        <w:t>.</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Ingestion:              </w:t>
      </w:r>
      <w:r w:rsidRPr="00695529">
        <w:rPr>
          <w:rFonts w:ascii="Arial" w:eastAsia="Times New Roman" w:hAnsi="Arial" w:cs="Arial"/>
          <w:color w:val="403F3C"/>
          <w:sz w:val="18"/>
          <w:szCs w:val="18"/>
        </w:rPr>
        <w:t xml:space="preserve">For advice, contact a Poison Information center or a doctor (at once). If </w:t>
      </w:r>
      <w:proofErr w:type="spellStart"/>
      <w:r w:rsidRPr="00695529">
        <w:rPr>
          <w:rFonts w:ascii="Arial" w:eastAsia="Times New Roman" w:hAnsi="Arial" w:cs="Arial"/>
          <w:color w:val="403F3C"/>
          <w:sz w:val="18"/>
          <w:szCs w:val="18"/>
        </w:rPr>
        <w:t>swallowed</w:t>
      </w:r>
      <w:proofErr w:type="gramStart"/>
      <w:r w:rsidRPr="00695529">
        <w:rPr>
          <w:rFonts w:ascii="Arial" w:eastAsia="Times New Roman" w:hAnsi="Arial" w:cs="Arial"/>
          <w:color w:val="403F3C"/>
          <w:sz w:val="18"/>
          <w:szCs w:val="18"/>
        </w:rPr>
        <w:t>,do</w:t>
      </w:r>
      <w:proofErr w:type="spellEnd"/>
      <w:proofErr w:type="gramEnd"/>
      <w:r w:rsidRPr="00695529">
        <w:rPr>
          <w:rFonts w:ascii="Arial" w:eastAsia="Times New Roman" w:hAnsi="Arial" w:cs="Arial"/>
          <w:color w:val="403F3C"/>
          <w:sz w:val="18"/>
          <w:szCs w:val="18"/>
        </w:rPr>
        <w:t xml:space="preserve"> not induce vomiting.  Do not give anything to drink unless directed by a physician. Never give anything by mouth to a person who is not fully conscious. If significant amounts are swallowed or irritation or discomfort occurs, seek medical attention immediately.</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First aid Facilities:             </w:t>
      </w:r>
      <w:r w:rsidRPr="00695529">
        <w:rPr>
          <w:rFonts w:ascii="Arial" w:eastAsia="Times New Roman" w:hAnsi="Arial" w:cs="Arial"/>
          <w:color w:val="403F3C"/>
          <w:sz w:val="18"/>
          <w:szCs w:val="18"/>
        </w:rPr>
        <w:t>Eye Wash facilities and safety shower are recommended</w:t>
      </w:r>
      <w:r w:rsidRPr="00695529">
        <w:rPr>
          <w:rFonts w:ascii="Arial" w:eastAsia="Times New Roman" w:hAnsi="Arial" w:cs="Arial"/>
          <w:b/>
          <w:bCs/>
          <w:color w:val="403F3C"/>
          <w:sz w:val="18"/>
          <w:szCs w:val="18"/>
        </w:rPr>
        <w:t>.</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Most important symptoms and effects, both acute and delayed</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Avoid contact with hot material, as burns may result. Bitumen’s, occupational exposure to straight run bitumen and their emissions curing road paving, are classified as possibly carcinogenic to humans (IARC Group 2B) However, since this product is not intended to be heated above 90</w:t>
      </w:r>
      <w:r w:rsidRPr="00695529">
        <w:rPr>
          <w:rFonts w:ascii="Arial" w:eastAsia="Times New Roman" w:hAnsi="Arial" w:cs="Arial"/>
          <w:color w:val="403F3C"/>
          <w:sz w:val="15"/>
          <w:szCs w:val="15"/>
          <w:vertAlign w:val="superscript"/>
        </w:rPr>
        <w:t>o</w:t>
      </w:r>
      <w:r w:rsidRPr="00695529">
        <w:rPr>
          <w:rFonts w:ascii="Arial" w:eastAsia="Times New Roman" w:hAnsi="Arial" w:cs="Arial"/>
          <w:color w:val="403F3C"/>
          <w:sz w:val="20"/>
          <w:szCs w:val="20"/>
        </w:rPr>
        <w:t>C the carcinogenic potential is significantly reduced.</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Immediate medical attention and special treatment needed</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Burns caused by bitumen require special medical treatment. Consultation with a burns specialist experienced in bitumen burns is advisable in the first instance.</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lastRenderedPageBreak/>
        <w:t>Bitumen burns: If hot bitumen contacts the skin, flush immediately with water and make no attempt to remove it. Use wet, cold towels, if face, neck, shoulder, or back etc. are burnt. Cool burn areas for 30 minutes and seek immediate medical attention. Where bitumen completely circles a limb, it may have a tourniquet effect and should be split longitudinally as it cools.  If eye burns result flush with water for 15 minutes, pad and seek immediate medical attention.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w:t>
      </w:r>
      <w:proofErr w:type="gramStart"/>
      <w:r w:rsidRPr="00695529">
        <w:rPr>
          <w:rFonts w:ascii="Arial" w:eastAsia="Times New Roman" w:hAnsi="Arial" w:cs="Arial"/>
          <w:b/>
          <w:bCs/>
          <w:color w:val="403F3C"/>
          <w:sz w:val="24"/>
          <w:szCs w:val="24"/>
        </w:rPr>
        <w:t>  5</w:t>
      </w:r>
      <w:proofErr w:type="gramEnd"/>
      <w:r w:rsidRPr="00695529">
        <w:rPr>
          <w:rFonts w:ascii="Arial" w:eastAsia="Times New Roman" w:hAnsi="Arial" w:cs="Arial"/>
          <w:b/>
          <w:bCs/>
          <w:color w:val="403F3C"/>
          <w:sz w:val="24"/>
          <w:szCs w:val="24"/>
        </w:rPr>
        <w:t>. FIRE FIGHTING MEASURES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NFPA Flammability classification:                       NFPA Class IIIB combustible material</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Flash Point                                                             200</w:t>
      </w:r>
      <w:r w:rsidRPr="00695529">
        <w:rPr>
          <w:rFonts w:ascii="Arial" w:eastAsia="Times New Roman" w:hAnsi="Arial" w:cs="Arial"/>
          <w:color w:val="403F3C"/>
          <w:sz w:val="14"/>
          <w:szCs w:val="14"/>
          <w:vertAlign w:val="superscript"/>
        </w:rPr>
        <w:t>o</w:t>
      </w:r>
      <w:r w:rsidRPr="00695529">
        <w:rPr>
          <w:rFonts w:ascii="Arial" w:eastAsia="Times New Roman" w:hAnsi="Arial" w:cs="Arial"/>
          <w:color w:val="403F3C"/>
          <w:sz w:val="18"/>
          <w:szCs w:val="18"/>
        </w:rPr>
        <w:t>C (400</w:t>
      </w:r>
      <w:r w:rsidRPr="00695529">
        <w:rPr>
          <w:rFonts w:ascii="Arial" w:eastAsia="Times New Roman" w:hAnsi="Arial" w:cs="Arial"/>
          <w:color w:val="403F3C"/>
          <w:sz w:val="14"/>
          <w:szCs w:val="14"/>
          <w:vertAlign w:val="superscript"/>
        </w:rPr>
        <w:t>o</w:t>
      </w:r>
      <w:r w:rsidRPr="00695529">
        <w:rPr>
          <w:rFonts w:ascii="Arial" w:eastAsia="Times New Roman" w:hAnsi="Arial" w:cs="Arial"/>
          <w:color w:val="403F3C"/>
          <w:sz w:val="18"/>
          <w:szCs w:val="18"/>
        </w:rPr>
        <w:t>F) Minimum</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Lower Flammable Limit                                          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Upper Flammable Limit                                          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Auto-ignition Temperature                                     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Extinguishing Media</w:t>
      </w:r>
      <w:r w:rsidRPr="00695529">
        <w:rPr>
          <w:rFonts w:ascii="Arial" w:eastAsia="Times New Roman" w:hAnsi="Arial" w:cs="Arial"/>
          <w:color w:val="403F3C"/>
          <w:sz w:val="18"/>
          <w:szCs w:val="18"/>
        </w:rPr>
        <w:t>: In case of fire, use water fog, dry chemical or carbon dioxide extinguisher or spray. DO NOT USE water jet.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Special Hazards arising from the substance or mixture; </w:t>
      </w:r>
      <w:r w:rsidRPr="00695529">
        <w:rPr>
          <w:rFonts w:ascii="Arial" w:eastAsia="Times New Roman" w:hAnsi="Arial" w:cs="Arial"/>
          <w:color w:val="403F3C"/>
          <w:sz w:val="18"/>
          <w:szCs w:val="18"/>
        </w:rPr>
        <w:t xml:space="preserve">Combustible. May evolve toxic gases (carbon/ </w:t>
      </w:r>
      <w:proofErr w:type="spellStart"/>
      <w:r w:rsidRPr="00695529">
        <w:rPr>
          <w:rFonts w:ascii="Arial" w:eastAsia="Times New Roman" w:hAnsi="Arial" w:cs="Arial"/>
          <w:color w:val="403F3C"/>
          <w:sz w:val="18"/>
          <w:szCs w:val="18"/>
        </w:rPr>
        <w:t>sulphur</w:t>
      </w:r>
      <w:proofErr w:type="spellEnd"/>
      <w:r w:rsidRPr="00695529">
        <w:rPr>
          <w:rFonts w:ascii="Arial" w:eastAsia="Times New Roman" w:hAnsi="Arial" w:cs="Arial"/>
          <w:color w:val="403F3C"/>
          <w:sz w:val="18"/>
          <w:szCs w:val="18"/>
        </w:rPr>
        <w:t xml:space="preserve">/ nitrogen oxides, hydrogen </w:t>
      </w:r>
      <w:proofErr w:type="spellStart"/>
      <w:r w:rsidRPr="00695529">
        <w:rPr>
          <w:rFonts w:ascii="Arial" w:eastAsia="Times New Roman" w:hAnsi="Arial" w:cs="Arial"/>
          <w:color w:val="403F3C"/>
          <w:sz w:val="18"/>
          <w:szCs w:val="18"/>
        </w:rPr>
        <w:t>sulphide</w:t>
      </w:r>
      <w:proofErr w:type="spellEnd"/>
      <w:r w:rsidRPr="00695529">
        <w:rPr>
          <w:rFonts w:ascii="Arial" w:eastAsia="Times New Roman" w:hAnsi="Arial" w:cs="Arial"/>
          <w:color w:val="403F3C"/>
          <w:sz w:val="18"/>
          <w:szCs w:val="18"/>
        </w:rPr>
        <w:t>, hydrocarbons) when heated to decomposition</w:t>
      </w:r>
      <w:r w:rsidRPr="00695529">
        <w:rPr>
          <w:rFonts w:ascii="Arial" w:eastAsia="Times New Roman" w:hAnsi="Arial" w:cs="Arial"/>
          <w:b/>
          <w:bCs/>
          <w:color w:val="403F3C"/>
          <w:sz w:val="18"/>
          <w:szCs w:val="18"/>
        </w:rPr>
        <w: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Advice for Firefighters; </w:t>
      </w:r>
      <w:r w:rsidRPr="00695529">
        <w:rPr>
          <w:rFonts w:ascii="Arial" w:eastAsia="Times New Roman" w:hAnsi="Arial" w:cs="Arial"/>
          <w:color w:val="403F3C"/>
          <w:sz w:val="18"/>
          <w:szCs w:val="18"/>
        </w:rPr>
        <w:t>Evacuate area and contact emergency services. Toxic gases may be evolved in a fire situation. Remain upwind and notify those downwind of hazard. Wear full protective equipment including self-contained breathing apparatus (SCBA) when combating fire. Use water fog to cool intact container and nearby storage areas.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br/>
        <w:t>Hazchem code;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None Allocated</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w:t>
      </w:r>
      <w:proofErr w:type="gramStart"/>
      <w:r w:rsidRPr="00695529">
        <w:rPr>
          <w:rFonts w:ascii="Arial" w:eastAsia="Times New Roman" w:hAnsi="Arial" w:cs="Arial"/>
          <w:b/>
          <w:bCs/>
          <w:color w:val="403F3C"/>
          <w:sz w:val="24"/>
          <w:szCs w:val="24"/>
        </w:rPr>
        <w:t>  6</w:t>
      </w:r>
      <w:proofErr w:type="gramEnd"/>
      <w:r w:rsidRPr="00695529">
        <w:rPr>
          <w:rFonts w:ascii="Arial" w:eastAsia="Times New Roman" w:hAnsi="Arial" w:cs="Arial"/>
          <w:b/>
          <w:bCs/>
          <w:color w:val="403F3C"/>
          <w:sz w:val="24"/>
          <w:szCs w:val="24"/>
        </w:rPr>
        <w:t>.      ACCIDENTAL RELEASE MEASURES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Personal precautions, protective equipment and emergency procedures; </w:t>
      </w:r>
      <w:r w:rsidRPr="00695529">
        <w:rPr>
          <w:rFonts w:ascii="Arial" w:eastAsia="Times New Roman" w:hAnsi="Arial" w:cs="Arial"/>
          <w:color w:val="403F3C"/>
          <w:sz w:val="18"/>
          <w:szCs w:val="18"/>
        </w:rPr>
        <w:t>Wear Personal Protective equipment (PPE) as detailed in section 8 of the SDS Clear area of all unprotected personnel. Ventilate area where possible. Allow material to cool. Contact emergency services where appropriate</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Environmental Precautions; </w:t>
      </w:r>
      <w:r w:rsidRPr="00695529">
        <w:rPr>
          <w:rFonts w:ascii="Arial" w:eastAsia="Times New Roman" w:hAnsi="Arial" w:cs="Arial"/>
          <w:color w:val="403F3C"/>
          <w:sz w:val="18"/>
          <w:szCs w:val="18"/>
        </w:rPr>
        <w:t>Contain material and prevent product from entering drains and waterways. Collect and seal in properly labelled containers for disposal. If contamination of sewers or waterways has occurred, contact local emergency services.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lastRenderedPageBreak/>
        <w:t>Methods of Cleaning up; </w:t>
      </w:r>
      <w:r w:rsidRPr="00695529">
        <w:rPr>
          <w:rFonts w:ascii="Arial" w:eastAsia="Times New Roman" w:hAnsi="Arial" w:cs="Arial"/>
          <w:color w:val="403F3C"/>
          <w:sz w:val="18"/>
          <w:szCs w:val="18"/>
        </w:rPr>
        <w:t>contain spillage, then cover / absorb spill with non-combustible absorbent material (vermiculite, sand or similar) collect and place in suitable containers for disposal. Eliminate all ignition sources.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Reference to other sections; </w:t>
      </w:r>
      <w:r w:rsidRPr="00695529">
        <w:rPr>
          <w:rFonts w:ascii="Arial" w:eastAsia="Times New Roman" w:hAnsi="Arial" w:cs="Arial"/>
          <w:color w:val="403F3C"/>
          <w:sz w:val="18"/>
          <w:szCs w:val="18"/>
        </w:rPr>
        <w:t>See Section 8 and 13 for exposure controls and disposal.</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7. HANDLING AND STORAGE</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Precautions for safe handling; </w:t>
      </w:r>
      <w:r w:rsidRPr="00695529">
        <w:rPr>
          <w:rFonts w:ascii="Arial" w:eastAsia="Times New Roman" w:hAnsi="Arial" w:cs="Arial"/>
          <w:color w:val="403F3C"/>
          <w:sz w:val="18"/>
          <w:szCs w:val="18"/>
        </w:rPr>
        <w:t>before use carefully read the product label. Use of safe work practices are recommended to avoid eye or skin contact and inhalation. Observe good personal hygiene, including washing hands before eating. Prohibit eating, drinking and smoking in contaminated areas.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Conditions for safe storage, including any incompatibilities</w:t>
      </w:r>
      <w:r w:rsidRPr="00695529">
        <w:rPr>
          <w:rFonts w:ascii="Arial" w:eastAsia="Times New Roman" w:hAnsi="Arial" w:cs="Arial"/>
          <w:color w:val="403F3C"/>
          <w:sz w:val="18"/>
          <w:szCs w:val="18"/>
        </w:rPr>
        <w:t>; Store in well-ventilated area removed from ignition sources, oxidizing agents and foodstuffs. Keep storage vessels closed when not in use. Take precautionary measures against static electricity discharges.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Cambria" w:eastAsia="Times New Roman" w:hAnsi="Cambria" w:cs="Arial"/>
          <w:b/>
          <w:bCs/>
          <w:color w:val="403F3C"/>
          <w:sz w:val="18"/>
          <w:szCs w:val="18"/>
        </w:rPr>
        <w:t>Specific end use (s); not applicable.</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8. EXPOSURE CONTROLS / PERSON PROTECTION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r w:rsidRPr="00695529">
        <w:rPr>
          <w:rFonts w:ascii="Arial" w:eastAsia="Times New Roman" w:hAnsi="Arial" w:cs="Arial"/>
          <w:b/>
          <w:bCs/>
          <w:color w:val="403F3C"/>
          <w:sz w:val="18"/>
          <w:szCs w:val="18"/>
        </w:rPr>
        <w:t> Control Parameters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Exposure standards</w:t>
      </w:r>
    </w:p>
    <w:tbl>
      <w:tblPr>
        <w:tblW w:w="8235" w:type="dxa"/>
        <w:tblInd w:w="-5" w:type="dxa"/>
        <w:tblCellMar>
          <w:left w:w="0" w:type="dxa"/>
          <w:right w:w="0" w:type="dxa"/>
        </w:tblCellMar>
        <w:tblLook w:val="04A0" w:firstRow="1" w:lastRow="0" w:firstColumn="1" w:lastColumn="0" w:noHBand="0" w:noVBand="1"/>
      </w:tblPr>
      <w:tblGrid>
        <w:gridCol w:w="1900"/>
        <w:gridCol w:w="1140"/>
        <w:gridCol w:w="2120"/>
        <w:gridCol w:w="773"/>
        <w:gridCol w:w="2120"/>
        <w:gridCol w:w="773"/>
      </w:tblGrid>
      <w:tr w:rsidR="00695529" w:rsidRPr="00695529" w:rsidTr="00695529">
        <w:trPr>
          <w:trHeight w:val="300"/>
        </w:trPr>
        <w:tc>
          <w:tcPr>
            <w:tcW w:w="1900" w:type="dxa"/>
            <w:tcBorders>
              <w:top w:val="single" w:sz="8" w:space="0" w:color="auto"/>
              <w:left w:val="single" w:sz="8" w:space="0" w:color="auto"/>
              <w:bottom w:val="nil"/>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Ingredient</w:t>
            </w:r>
          </w:p>
        </w:tc>
        <w:tc>
          <w:tcPr>
            <w:tcW w:w="1140" w:type="dxa"/>
            <w:tcBorders>
              <w:top w:val="single" w:sz="8" w:space="0" w:color="auto"/>
              <w:left w:val="nil"/>
              <w:bottom w:val="nil"/>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Reference</w:t>
            </w:r>
          </w:p>
        </w:tc>
        <w:tc>
          <w:tcPr>
            <w:tcW w:w="260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TWA</w:t>
            </w:r>
          </w:p>
        </w:tc>
        <w:tc>
          <w:tcPr>
            <w:tcW w:w="260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STEL</w:t>
            </w:r>
          </w:p>
        </w:tc>
      </w:tr>
      <w:tr w:rsidR="00695529" w:rsidRPr="00695529" w:rsidTr="00695529">
        <w:trPr>
          <w:trHeight w:val="31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240" w:lineRule="auto"/>
              <w:rPr>
                <w:rFonts w:ascii="Arial" w:eastAsia="Times New Roman" w:hAnsi="Arial" w:cs="Arial"/>
                <w:color w:val="000000"/>
                <w:sz w:val="24"/>
                <w:szCs w:val="24"/>
              </w:rPr>
            </w:pPr>
            <w:r w:rsidRPr="00695529">
              <w:rPr>
                <w:rFonts w:ascii="Arial" w:eastAsia="Times New Roman" w:hAnsi="Arial" w:cs="Arial"/>
                <w:color w:val="000000"/>
                <w:sz w:val="24"/>
                <w:szCs w:val="24"/>
              </w:rPr>
              <w:t>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240" w:lineRule="auto"/>
              <w:rPr>
                <w:rFonts w:ascii="Arial" w:eastAsia="Times New Roman" w:hAnsi="Arial" w:cs="Arial"/>
                <w:color w:val="000000"/>
                <w:sz w:val="24"/>
                <w:szCs w:val="24"/>
              </w:rPr>
            </w:pPr>
            <w:r w:rsidRPr="00695529">
              <w:rPr>
                <w:rFonts w:ascii="Arial" w:eastAsia="Times New Roman" w:hAnsi="Arial" w:cs="Arial"/>
                <w:color w:val="000000"/>
                <w:sz w:val="24"/>
                <w:szCs w:val="24"/>
              </w:rPr>
              <w:t> </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ppm</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mg/m</w:t>
            </w:r>
            <w:r w:rsidRPr="00695529">
              <w:rPr>
                <w:rFonts w:ascii="Calibri" w:eastAsia="Times New Roman" w:hAnsi="Calibri" w:cs="Arial"/>
                <w:b/>
                <w:bCs/>
                <w:color w:val="000000"/>
                <w:sz w:val="15"/>
                <w:szCs w:val="15"/>
                <w:vertAlign w:val="superscript"/>
              </w:rPr>
              <w:t>3</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ppm</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b/>
                <w:bCs/>
                <w:color w:val="000000"/>
                <w:sz w:val="20"/>
                <w:szCs w:val="20"/>
              </w:rPr>
              <w:t>mg/m</w:t>
            </w:r>
            <w:r w:rsidRPr="00695529">
              <w:rPr>
                <w:rFonts w:ascii="Calibri" w:eastAsia="Times New Roman" w:hAnsi="Calibri" w:cs="Arial"/>
                <w:b/>
                <w:bCs/>
                <w:color w:val="000000"/>
                <w:sz w:val="15"/>
                <w:szCs w:val="15"/>
                <w:vertAlign w:val="superscript"/>
              </w:rPr>
              <w:t>3</w:t>
            </w:r>
          </w:p>
        </w:tc>
      </w:tr>
      <w:tr w:rsidR="00695529" w:rsidRPr="00695529" w:rsidTr="00695529">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Calibri" w:eastAsia="Times New Roman" w:hAnsi="Calibri" w:cs="Arial"/>
                <w:color w:val="000000"/>
                <w:sz w:val="20"/>
                <w:szCs w:val="20"/>
              </w:rPr>
              <w:t>Bitumen Fume</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Calibri" w:eastAsia="Times New Roman" w:hAnsi="Calibri" w:cs="Arial"/>
                <w:color w:val="000000"/>
                <w:sz w:val="20"/>
                <w:szCs w:val="20"/>
              </w:rPr>
              <w:t>SWA (AUS)</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color w:val="000000"/>
                <w:sz w:val="20"/>
                <w:szCs w:val="20"/>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color w:val="000000"/>
                <w:sz w:val="20"/>
                <w:szCs w:val="20"/>
              </w:rPr>
              <w:t>5</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color w:val="000000"/>
                <w:sz w:val="20"/>
                <w:szCs w:val="20"/>
              </w:rPr>
              <w:t> --</w:t>
            </w:r>
          </w:p>
        </w:tc>
        <w:tc>
          <w:tcPr>
            <w:tcW w:w="480" w:type="dxa"/>
            <w:tcBorders>
              <w:top w:val="nil"/>
              <w:left w:val="nil"/>
              <w:bottom w:val="single" w:sz="8" w:space="0" w:color="auto"/>
              <w:right w:val="single" w:sz="8" w:space="0" w:color="auto"/>
            </w:tcBorders>
            <w:noWrap/>
            <w:tcMar>
              <w:top w:w="0" w:type="dxa"/>
              <w:left w:w="108" w:type="dxa"/>
              <w:bottom w:w="0" w:type="dxa"/>
              <w:right w:w="108" w:type="dxa"/>
            </w:tcMar>
            <w:hideMark/>
          </w:tcPr>
          <w:p w:rsidR="00695529" w:rsidRPr="00695529" w:rsidRDefault="00695529" w:rsidP="00695529">
            <w:pPr>
              <w:spacing w:after="0" w:line="336" w:lineRule="atLeast"/>
              <w:jc w:val="center"/>
              <w:rPr>
                <w:rFonts w:ascii="Arial" w:eastAsia="Times New Roman" w:hAnsi="Arial" w:cs="Arial"/>
                <w:color w:val="403F3C"/>
                <w:sz w:val="24"/>
                <w:szCs w:val="24"/>
              </w:rPr>
            </w:pPr>
            <w:r w:rsidRPr="00695529">
              <w:rPr>
                <w:rFonts w:ascii="Calibri" w:eastAsia="Times New Roman" w:hAnsi="Calibri" w:cs="Arial"/>
                <w:color w:val="000000"/>
                <w:sz w:val="20"/>
                <w:szCs w:val="20"/>
              </w:rPr>
              <w:t> --</w:t>
            </w:r>
          </w:p>
        </w:tc>
      </w:tr>
    </w:tbl>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Biological Limes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No biological limits values have been entered for this product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Exposure controls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Engineering controls; Avoid inhalation by working upwind where possible. Use in well ventilated areas.   Maintain vapor /fume levels below the recommended exposure standards. Maintain fume levels below the recommended exposure standard.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PPE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lastRenderedPageBreak/>
        <w:t>Personal protective equipment (PPE) should meet national recommended standards. Check with PPE suppliers</w:t>
      </w:r>
      <w:r w:rsidRPr="00695529">
        <w:rPr>
          <w:rFonts w:ascii="Arial" w:eastAsia="Times New Roman" w:hAnsi="Arial" w:cs="Arial"/>
          <w:b/>
          <w:bCs/>
          <w:color w:val="403F3C"/>
          <w:sz w:val="20"/>
          <w:szCs w:val="20"/>
        </w:rPr>
        <w: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20"/>
          <w:szCs w:val="20"/>
        </w:rPr>
        <w:t>Eye / Face           </w:t>
      </w:r>
      <w:r w:rsidRPr="00695529">
        <w:rPr>
          <w:rFonts w:ascii="Arial" w:eastAsia="Times New Roman" w:hAnsi="Arial" w:cs="Arial"/>
          <w:color w:val="403F3C"/>
          <w:sz w:val="20"/>
          <w:szCs w:val="20"/>
        </w:rPr>
        <w:t>Wear a face-shield or splash proof goggles when handling hot material. Wear safety glasses when handling cold material.</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20"/>
          <w:szCs w:val="20"/>
        </w:rPr>
        <w:t>Hands                   </w:t>
      </w:r>
      <w:r w:rsidRPr="00695529">
        <w:rPr>
          <w:rFonts w:ascii="Arial" w:eastAsia="Times New Roman" w:hAnsi="Arial" w:cs="Arial"/>
          <w:color w:val="403F3C"/>
          <w:sz w:val="20"/>
          <w:szCs w:val="20"/>
        </w:rPr>
        <w:t>Wear heat resistant leather or insulated gloves when handling hot material. Wear chemical resistant gloves (i.e. Nitrile) when handling cold material</w:t>
      </w:r>
      <w:r w:rsidRPr="00695529">
        <w:rPr>
          <w:rFonts w:ascii="Arial" w:eastAsia="Times New Roman" w:hAnsi="Arial" w:cs="Arial"/>
          <w:b/>
          <w:bCs/>
          <w:color w:val="403F3C"/>
          <w:sz w:val="20"/>
          <w:szCs w:val="20"/>
        </w:rPr>
        <w: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20"/>
          <w:szCs w:val="20"/>
        </w:rPr>
        <w:t>Body                      </w:t>
      </w:r>
      <w:r w:rsidRPr="00695529">
        <w:rPr>
          <w:rFonts w:ascii="Arial" w:eastAsia="Times New Roman" w:hAnsi="Arial" w:cs="Arial"/>
          <w:color w:val="403F3C"/>
          <w:sz w:val="20"/>
          <w:szCs w:val="20"/>
        </w:rPr>
        <w:t>Avoid contact with skin and clothing. Wear impervious coveralls and heat resistant boots when handling hot material. When the risk of skin exposure is high, an impervious chemical suit may be required</w:t>
      </w:r>
      <w:r w:rsidRPr="00695529">
        <w:rPr>
          <w:rFonts w:ascii="Arial" w:eastAsia="Times New Roman" w:hAnsi="Arial" w:cs="Arial"/>
          <w:b/>
          <w:bCs/>
          <w:color w:val="403F3C"/>
          <w:sz w:val="20"/>
          <w:szCs w:val="20"/>
        </w:rPr>
        <w: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20"/>
          <w:szCs w:val="20"/>
        </w:rPr>
        <w:t>Respiratory        </w:t>
      </w:r>
      <w:r w:rsidRPr="00695529">
        <w:rPr>
          <w:rFonts w:ascii="Arial" w:eastAsia="Times New Roman" w:hAnsi="Arial" w:cs="Arial"/>
          <w:color w:val="403F3C"/>
          <w:sz w:val="20"/>
          <w:szCs w:val="20"/>
        </w:rPr>
        <w:t>Where an inhalation risk exists in enclosed or partly enclosed environments (i.e. underground parking, large tanks, tunnels etc.) wear a type-A class P1  (organic gases /vapors  and particulate) respirator, dependent on a site specific risk assessment.</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9.  PHYSICAL AND CHEMICAL PROPERTIES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Information on basic physical and chemical properties</w:t>
      </w:r>
    </w:p>
    <w:p w:rsidR="00695529" w:rsidRPr="00695529" w:rsidRDefault="00695529" w:rsidP="00695529">
      <w:pPr>
        <w:spacing w:after="0" w:line="336" w:lineRule="atLeast"/>
        <w:ind w:left="2880" w:hanging="2880"/>
        <w:rPr>
          <w:rFonts w:ascii="Arial" w:eastAsia="Times New Roman" w:hAnsi="Arial" w:cs="Arial"/>
          <w:color w:val="403F3C"/>
          <w:sz w:val="24"/>
          <w:szCs w:val="24"/>
        </w:rPr>
      </w:pPr>
      <w:r w:rsidRPr="00695529">
        <w:rPr>
          <w:rFonts w:ascii="Arial" w:eastAsia="Times New Roman" w:hAnsi="Arial" w:cs="Arial"/>
          <w:b/>
          <w:bCs/>
          <w:color w:val="403F3C"/>
          <w:sz w:val="20"/>
          <w:szCs w:val="20"/>
        </w:rPr>
        <w:t>Appearance:</w:t>
      </w:r>
      <w:r w:rsidRPr="00695529">
        <w:rPr>
          <w:rFonts w:ascii="Arial" w:eastAsia="Times New Roman" w:hAnsi="Arial" w:cs="Arial"/>
          <w:color w:val="403F3C"/>
          <w:sz w:val="20"/>
          <w:szCs w:val="20"/>
        </w:rPr>
        <w:t>                                      Brown liquid (in Use):  Black semi-solid thermoplastic material (when cured)</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Odor:                                                     </w:t>
      </w:r>
      <w:r w:rsidRPr="00695529">
        <w:rPr>
          <w:rFonts w:ascii="Arial" w:eastAsia="Times New Roman" w:hAnsi="Arial" w:cs="Arial"/>
          <w:color w:val="403F3C"/>
          <w:sz w:val="20"/>
          <w:szCs w:val="20"/>
        </w:rPr>
        <w:t>Bitumen like odor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Flammability                                     </w:t>
      </w:r>
      <w:r w:rsidRPr="00695529">
        <w:rPr>
          <w:rFonts w:ascii="Arial" w:eastAsia="Times New Roman" w:hAnsi="Arial" w:cs="Arial"/>
          <w:color w:val="403F3C"/>
          <w:sz w:val="20"/>
          <w:szCs w:val="20"/>
        </w:rPr>
        <w:t>Class C2 Combustible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Flash Point                                          </w:t>
      </w:r>
      <w:r w:rsidRPr="00695529">
        <w:rPr>
          <w:rFonts w:ascii="Arial" w:eastAsia="Times New Roman" w:hAnsi="Arial" w:cs="Arial"/>
          <w:color w:val="403F3C"/>
          <w:sz w:val="20"/>
          <w:szCs w:val="20"/>
        </w:rPr>
        <w:t>&gt;200</w:t>
      </w:r>
      <w:r w:rsidRPr="00695529">
        <w:rPr>
          <w:rFonts w:ascii="Arial" w:eastAsia="Times New Roman" w:hAnsi="Arial" w:cs="Arial"/>
          <w:color w:val="403F3C"/>
          <w:sz w:val="15"/>
          <w:szCs w:val="15"/>
          <w:vertAlign w:val="superscript"/>
        </w:rPr>
        <w:t>o</w:t>
      </w:r>
      <w:r w:rsidRPr="00695529">
        <w:rPr>
          <w:rFonts w:ascii="Arial" w:eastAsia="Times New Roman" w:hAnsi="Arial" w:cs="Arial"/>
          <w:color w:val="403F3C"/>
          <w:sz w:val="20"/>
          <w:szCs w:val="20"/>
        </w:rPr>
        <w:t>C (400 F)</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Boiling Point:</w:t>
      </w:r>
      <w:r w:rsidRPr="00695529">
        <w:rPr>
          <w:rFonts w:ascii="Arial" w:eastAsia="Times New Roman" w:hAnsi="Arial" w:cs="Arial"/>
          <w:color w:val="403F3C"/>
          <w:sz w:val="20"/>
          <w:szCs w:val="20"/>
        </w:rPr>
        <w:t>                                     100</w:t>
      </w:r>
      <w:r w:rsidRPr="00695529">
        <w:rPr>
          <w:rFonts w:ascii="Arial" w:eastAsia="Times New Roman" w:hAnsi="Arial" w:cs="Arial"/>
          <w:color w:val="403F3C"/>
          <w:sz w:val="15"/>
          <w:szCs w:val="15"/>
          <w:vertAlign w:val="superscript"/>
        </w:rPr>
        <w:t>o </w:t>
      </w:r>
      <w:r w:rsidRPr="00695529">
        <w:rPr>
          <w:rFonts w:ascii="Arial" w:eastAsia="Times New Roman" w:hAnsi="Arial" w:cs="Arial"/>
          <w:color w:val="403F3C"/>
          <w:sz w:val="20"/>
          <w:szCs w:val="20"/>
        </w:rPr>
        <w:t>C (212 F)</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Melting point:</w:t>
      </w:r>
      <w:r w:rsidRPr="00695529">
        <w:rPr>
          <w:rFonts w:ascii="Arial" w:eastAsia="Times New Roman" w:hAnsi="Arial" w:cs="Arial"/>
          <w:color w:val="403F3C"/>
          <w:sz w:val="20"/>
          <w:szCs w:val="20"/>
        </w:rPr>
        <w:t>                                       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Evaporation Rate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PH:</w:t>
      </w:r>
      <w:r w:rsidRPr="00695529">
        <w:rPr>
          <w:rFonts w:ascii="Arial" w:eastAsia="Times New Roman" w:hAnsi="Arial" w:cs="Arial"/>
          <w:color w:val="403F3C"/>
          <w:sz w:val="20"/>
          <w:szCs w:val="20"/>
        </w:rPr>
        <w:t>                                                         2-7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Vapor Density (air = 1):</w:t>
      </w:r>
      <w:r w:rsidRPr="00695529">
        <w:rPr>
          <w:rFonts w:ascii="Arial" w:eastAsia="Times New Roman" w:hAnsi="Arial" w:cs="Arial"/>
          <w:color w:val="403F3C"/>
          <w:sz w:val="20"/>
          <w:szCs w:val="20"/>
        </w:rPr>
        <w:t>                    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Specific Gravity:</w:t>
      </w:r>
      <w:r w:rsidRPr="00695529">
        <w:rPr>
          <w:rFonts w:ascii="Arial" w:eastAsia="Times New Roman" w:hAnsi="Arial" w:cs="Arial"/>
          <w:color w:val="403F3C"/>
          <w:sz w:val="20"/>
          <w:szCs w:val="20"/>
        </w:rPr>
        <w:t>                                1.014</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Solubility:</w:t>
      </w:r>
      <w:r w:rsidRPr="00695529">
        <w:rPr>
          <w:rFonts w:ascii="Arial" w:eastAsia="Times New Roman" w:hAnsi="Arial" w:cs="Arial"/>
          <w:color w:val="403F3C"/>
          <w:sz w:val="20"/>
          <w:szCs w:val="20"/>
        </w:rPr>
        <w:t>                                             Insoluble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Vapor Pressure:</w:t>
      </w:r>
      <w:r w:rsidRPr="00695529">
        <w:rPr>
          <w:rFonts w:ascii="Arial" w:eastAsia="Times New Roman" w:hAnsi="Arial" w:cs="Arial"/>
          <w:color w:val="403F3C"/>
          <w:sz w:val="20"/>
          <w:szCs w:val="20"/>
        </w:rPr>
        <w:t>                                  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Upper explosion limit: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Lower explosion limit: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Partition coefficient: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lastRenderedPageBreak/>
        <w:t>Auto ignition temperature: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Decomposition temperature: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Viscosity:                                             </w:t>
      </w:r>
      <w:r w:rsidRPr="00695529">
        <w:rPr>
          <w:rFonts w:ascii="Arial" w:eastAsia="Times New Roman" w:hAnsi="Arial" w:cs="Arial"/>
          <w:color w:val="403F3C"/>
          <w:sz w:val="20"/>
          <w:szCs w:val="20"/>
        </w:rPr>
        <w:t>NA</w:t>
      </w:r>
      <w:r w:rsidRPr="00695529">
        <w:rPr>
          <w:rFonts w:ascii="Arial" w:eastAsia="Times New Roman" w:hAnsi="Arial" w:cs="Arial"/>
          <w:b/>
          <w:bCs/>
          <w:color w:val="403F3C"/>
          <w:sz w:val="20"/>
          <w:szCs w:val="20"/>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Explosive properties: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Oxidizing properties: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 xml:space="preserve">Odor </w:t>
      </w:r>
      <w:proofErr w:type="gramStart"/>
      <w:r w:rsidRPr="00695529">
        <w:rPr>
          <w:rFonts w:ascii="Arial" w:eastAsia="Times New Roman" w:hAnsi="Arial" w:cs="Arial"/>
          <w:b/>
          <w:bCs/>
          <w:color w:val="403F3C"/>
          <w:sz w:val="20"/>
          <w:szCs w:val="20"/>
        </w:rPr>
        <w:t>threshold :</w:t>
      </w:r>
      <w:proofErr w:type="gramEnd"/>
      <w:r w:rsidRPr="00695529">
        <w:rPr>
          <w:rFonts w:ascii="Arial" w:eastAsia="Times New Roman" w:hAnsi="Arial" w:cs="Arial"/>
          <w:b/>
          <w:bCs/>
          <w:color w:val="403F3C"/>
          <w:sz w:val="20"/>
          <w:szCs w:val="20"/>
        </w:rPr>
        <w:t xml:space="preserve">                                 </w:t>
      </w:r>
      <w:r w:rsidRPr="00695529">
        <w:rPr>
          <w:rFonts w:ascii="Arial" w:eastAsia="Times New Roman" w:hAnsi="Arial" w:cs="Arial"/>
          <w:color w:val="403F3C"/>
          <w:sz w:val="20"/>
          <w:szCs w:val="20"/>
        </w:rPr>
        <w:t>NA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u w:val="single"/>
        </w:rPr>
        <w:t>Other Information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Max Temp in use                              </w:t>
      </w:r>
      <w:r w:rsidRPr="00695529">
        <w:rPr>
          <w:rFonts w:ascii="Arial" w:eastAsia="Times New Roman" w:hAnsi="Arial" w:cs="Arial"/>
          <w:color w:val="403F3C"/>
          <w:sz w:val="20"/>
          <w:szCs w:val="20"/>
        </w:rPr>
        <w:t>ambient to 90</w:t>
      </w:r>
      <w:r w:rsidRPr="00695529">
        <w:rPr>
          <w:rFonts w:ascii="Arial" w:eastAsia="Times New Roman" w:hAnsi="Arial" w:cs="Arial"/>
          <w:color w:val="403F3C"/>
          <w:sz w:val="15"/>
          <w:szCs w:val="15"/>
          <w:vertAlign w:val="superscript"/>
        </w:rPr>
        <w:t>o</w:t>
      </w:r>
      <w:r w:rsidRPr="00695529">
        <w:rPr>
          <w:rFonts w:ascii="Arial" w:eastAsia="Times New Roman" w:hAnsi="Arial" w:cs="Arial"/>
          <w:color w:val="403F3C"/>
          <w:sz w:val="20"/>
          <w:szCs w:val="20"/>
        </w:rPr>
        <w:t>C</w:t>
      </w:r>
      <w:proofErr w:type="gramStart"/>
      <w:r w:rsidRPr="00695529">
        <w:rPr>
          <w:rFonts w:ascii="Arial" w:eastAsia="Times New Roman" w:hAnsi="Arial" w:cs="Arial"/>
          <w:color w:val="403F3C"/>
          <w:sz w:val="20"/>
          <w:szCs w:val="20"/>
        </w:rPr>
        <w:t>  (</w:t>
      </w:r>
      <w:proofErr w:type="gramEnd"/>
      <w:r w:rsidRPr="00695529">
        <w:rPr>
          <w:rFonts w:ascii="Arial" w:eastAsia="Times New Roman" w:hAnsi="Arial" w:cs="Arial"/>
          <w:color w:val="403F3C"/>
          <w:sz w:val="20"/>
          <w:szCs w:val="20"/>
        </w:rPr>
        <w:t>195 F)</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10.     STABILITY AND REACTIVITY</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Reactivity:  </w:t>
      </w:r>
      <w:r w:rsidRPr="00695529">
        <w:rPr>
          <w:rFonts w:ascii="Arial" w:eastAsia="Times New Roman" w:hAnsi="Arial" w:cs="Arial"/>
          <w:color w:val="403F3C"/>
          <w:sz w:val="18"/>
          <w:szCs w:val="18"/>
        </w:rPr>
        <w:t>Carefully review all information provided in section 10.</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Chemical Stability: </w:t>
      </w:r>
      <w:r w:rsidRPr="00695529">
        <w:rPr>
          <w:rFonts w:ascii="Arial" w:eastAsia="Times New Roman" w:hAnsi="Arial" w:cs="Arial"/>
          <w:color w:val="403F3C"/>
          <w:sz w:val="18"/>
          <w:szCs w:val="18"/>
        </w:rPr>
        <w:t>Stable under recommended conditions of storage.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Possibility of hazardous reactions: </w:t>
      </w:r>
      <w:r w:rsidRPr="00695529">
        <w:rPr>
          <w:rFonts w:ascii="Arial" w:eastAsia="Times New Roman" w:hAnsi="Arial" w:cs="Arial"/>
          <w:color w:val="403F3C"/>
          <w:sz w:val="18"/>
          <w:szCs w:val="18"/>
        </w:rPr>
        <w:t>Polymerization is not expected to occur.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Conditions to avoid:</w:t>
      </w:r>
      <w:r w:rsidRPr="00695529">
        <w:rPr>
          <w:rFonts w:ascii="Arial" w:eastAsia="Times New Roman" w:hAnsi="Arial" w:cs="Arial"/>
          <w:color w:val="403F3C"/>
          <w:sz w:val="18"/>
          <w:szCs w:val="18"/>
        </w:rPr>
        <w:t>  Keep away from extreme heat, strong acids, and strong oxidizing conditions.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Incompatible materials: </w:t>
      </w:r>
      <w:r w:rsidRPr="00695529">
        <w:rPr>
          <w:rFonts w:ascii="Arial" w:eastAsia="Times New Roman" w:hAnsi="Arial" w:cs="Arial"/>
          <w:color w:val="403F3C"/>
          <w:sz w:val="18"/>
          <w:szCs w:val="18"/>
        </w:rPr>
        <w:t>incompatible with oxidizing agents (</w:t>
      </w:r>
      <w:proofErr w:type="spellStart"/>
      <w:r w:rsidRPr="00695529">
        <w:rPr>
          <w:rFonts w:ascii="Arial" w:eastAsia="Times New Roman" w:hAnsi="Arial" w:cs="Arial"/>
          <w:color w:val="403F3C"/>
          <w:sz w:val="18"/>
          <w:szCs w:val="18"/>
        </w:rPr>
        <w:t>eg</w:t>
      </w:r>
      <w:proofErr w:type="spellEnd"/>
      <w:r w:rsidRPr="00695529">
        <w:rPr>
          <w:rFonts w:ascii="Arial" w:eastAsia="Times New Roman" w:hAnsi="Arial" w:cs="Arial"/>
          <w:color w:val="403F3C"/>
          <w:sz w:val="18"/>
          <w:szCs w:val="18"/>
        </w:rPr>
        <w:t>. Hypochlorite)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Hazardous Decomposition Products:</w:t>
      </w:r>
      <w:r w:rsidRPr="00695529">
        <w:rPr>
          <w:rFonts w:ascii="Arial" w:eastAsia="Times New Roman" w:hAnsi="Arial" w:cs="Arial"/>
          <w:color w:val="403F3C"/>
          <w:sz w:val="18"/>
          <w:szCs w:val="18"/>
        </w:rPr>
        <w:t xml:space="preserve"> May evolve toxic gases (carbon / </w:t>
      </w:r>
      <w:proofErr w:type="spellStart"/>
      <w:r w:rsidRPr="00695529">
        <w:rPr>
          <w:rFonts w:ascii="Arial" w:eastAsia="Times New Roman" w:hAnsi="Arial" w:cs="Arial"/>
          <w:color w:val="403F3C"/>
          <w:sz w:val="18"/>
          <w:szCs w:val="18"/>
        </w:rPr>
        <w:t>sulphur</w:t>
      </w:r>
      <w:proofErr w:type="spellEnd"/>
      <w:r w:rsidRPr="00695529">
        <w:rPr>
          <w:rFonts w:ascii="Arial" w:eastAsia="Times New Roman" w:hAnsi="Arial" w:cs="Arial"/>
          <w:color w:val="403F3C"/>
          <w:sz w:val="18"/>
          <w:szCs w:val="18"/>
        </w:rPr>
        <w:t xml:space="preserve">/ nitrogen </w:t>
      </w:r>
      <w:proofErr w:type="spellStart"/>
      <w:r w:rsidRPr="00695529">
        <w:rPr>
          <w:rFonts w:ascii="Arial" w:eastAsia="Times New Roman" w:hAnsi="Arial" w:cs="Arial"/>
          <w:color w:val="403F3C"/>
          <w:sz w:val="18"/>
          <w:szCs w:val="18"/>
        </w:rPr>
        <w:t>sulphide</w:t>
      </w:r>
      <w:proofErr w:type="spellEnd"/>
      <w:r w:rsidRPr="00695529">
        <w:rPr>
          <w:rFonts w:ascii="Arial" w:eastAsia="Times New Roman" w:hAnsi="Arial" w:cs="Arial"/>
          <w:color w:val="403F3C"/>
          <w:sz w:val="18"/>
          <w:szCs w:val="18"/>
        </w:rPr>
        <w:t>, hydrocarbons) when heated to decomposition.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11. TOXICOLOGICAL INFORMATION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Toxicity Data:    Asphalt</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Acute Toxicity      </w:t>
      </w:r>
      <w:r w:rsidRPr="00695529">
        <w:rPr>
          <w:rFonts w:ascii="Arial" w:eastAsia="Times New Roman" w:hAnsi="Arial" w:cs="Arial"/>
          <w:color w:val="403F3C"/>
          <w:sz w:val="18"/>
          <w:szCs w:val="18"/>
        </w:rPr>
        <w:t>No known data is available for this product. Based on available data, the classification criteria are not met. Inhalation may cause headache, nausea and respiratory tract irritation. Once cured, the inert solid material is considered non-hazardous.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Skin                        </w:t>
      </w:r>
      <w:r w:rsidRPr="00695529">
        <w:rPr>
          <w:rFonts w:ascii="Arial" w:eastAsia="Times New Roman" w:hAnsi="Arial" w:cs="Arial"/>
          <w:color w:val="403F3C"/>
          <w:sz w:val="18"/>
          <w:szCs w:val="18"/>
        </w:rPr>
        <w:t>Contact with hot material can result in skin burns. Exposure to asphalt fumes (in the unlikely event of heating above 150</w:t>
      </w:r>
      <w:r w:rsidRPr="00695529">
        <w:rPr>
          <w:rFonts w:ascii="Arial" w:eastAsia="Times New Roman" w:hAnsi="Arial" w:cs="Arial"/>
          <w:color w:val="403F3C"/>
          <w:sz w:val="14"/>
          <w:szCs w:val="14"/>
          <w:vertAlign w:val="superscript"/>
        </w:rPr>
        <w:t>o</w:t>
      </w:r>
      <w:r w:rsidRPr="00695529">
        <w:rPr>
          <w:rFonts w:ascii="Arial" w:eastAsia="Times New Roman" w:hAnsi="Arial" w:cs="Arial"/>
          <w:color w:val="403F3C"/>
          <w:sz w:val="18"/>
          <w:szCs w:val="18"/>
        </w:rPr>
        <w:t>C (300 F) may cause dermatitis and photosensitizations. Once cured, the inert semi solid material is considered non-hazardous.</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Eye</w:t>
      </w:r>
      <w:r w:rsidRPr="00695529">
        <w:rPr>
          <w:rFonts w:ascii="Arial" w:eastAsia="Times New Roman" w:hAnsi="Arial" w:cs="Arial"/>
          <w:color w:val="403F3C"/>
          <w:sz w:val="18"/>
          <w:szCs w:val="18"/>
        </w:rPr>
        <w:t>                          Contact with hot material can result in eye burns. . Exposure to asphalt fumes may cause irritation, redness, or pain. Once cured, the inert semi solid material is considered non-hazardous.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Sensitization</w:t>
      </w:r>
      <w:r w:rsidRPr="00695529">
        <w:rPr>
          <w:rFonts w:ascii="Arial" w:eastAsia="Times New Roman" w:hAnsi="Arial" w:cs="Arial"/>
          <w:color w:val="403F3C"/>
          <w:sz w:val="18"/>
          <w:szCs w:val="18"/>
        </w:rPr>
        <w:t>          This product is not known to be a skin or respiratory sensitizer.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lastRenderedPageBreak/>
        <w:t>Mutagenicity</w:t>
      </w:r>
      <w:r w:rsidRPr="00695529">
        <w:rPr>
          <w:rFonts w:ascii="Arial" w:eastAsia="Times New Roman" w:hAnsi="Arial" w:cs="Arial"/>
          <w:color w:val="403F3C"/>
          <w:sz w:val="18"/>
          <w:szCs w:val="18"/>
        </w:rPr>
        <w:t>           Insufficient data available to classify as a mutagen.</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Carcinogenicity   </w:t>
      </w:r>
      <w:r w:rsidRPr="00695529">
        <w:rPr>
          <w:rFonts w:ascii="Arial" w:eastAsia="Times New Roman" w:hAnsi="Arial" w:cs="Arial"/>
          <w:color w:val="403F3C"/>
          <w:sz w:val="18"/>
          <w:szCs w:val="18"/>
        </w:rPr>
        <w:t>Bitumen’s, occupational exposure to straight-run bitumen’s and their emissions during road paving, are classified as possibly carcinogenic to humans (IARC group 2B) it is strongly suggested that temperature plays an important role in determining the degree of exposure and also the carcinogenic potential of bitumen emissions. Therefore, since this product is not intended to be heated above 90</w:t>
      </w:r>
      <w:r w:rsidRPr="00695529">
        <w:rPr>
          <w:rFonts w:ascii="Arial" w:eastAsia="Times New Roman" w:hAnsi="Arial" w:cs="Arial"/>
          <w:color w:val="403F3C"/>
          <w:sz w:val="14"/>
          <w:szCs w:val="14"/>
          <w:vertAlign w:val="superscript"/>
        </w:rPr>
        <w:t>o</w:t>
      </w:r>
      <w:r w:rsidRPr="00695529">
        <w:rPr>
          <w:rFonts w:ascii="Arial" w:eastAsia="Times New Roman" w:hAnsi="Arial" w:cs="Arial"/>
          <w:color w:val="403F3C"/>
          <w:sz w:val="18"/>
          <w:szCs w:val="18"/>
        </w:rPr>
        <w:t>C (195 F) the carcinogenic potential is significantly reduced.</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Reproductive </w:t>
      </w:r>
      <w:r w:rsidRPr="00695529">
        <w:rPr>
          <w:rFonts w:ascii="Arial" w:eastAsia="Times New Roman" w:hAnsi="Arial" w:cs="Arial"/>
          <w:color w:val="403F3C"/>
          <w:sz w:val="18"/>
          <w:szCs w:val="18"/>
        </w:rPr>
        <w:t>        Insufficient data available to classify as a reproductive toxin.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STOT- Single</w:t>
      </w:r>
      <w:r w:rsidRPr="00695529">
        <w:rPr>
          <w:rFonts w:ascii="Arial" w:eastAsia="Times New Roman" w:hAnsi="Arial" w:cs="Arial"/>
          <w:color w:val="403F3C"/>
          <w:sz w:val="18"/>
          <w:szCs w:val="18"/>
        </w:rPr>
        <w:t xml:space="preserve">           </w:t>
      </w:r>
      <w:proofErr w:type="gramStart"/>
      <w:r w:rsidRPr="00695529">
        <w:rPr>
          <w:rFonts w:ascii="Arial" w:eastAsia="Times New Roman" w:hAnsi="Arial" w:cs="Arial"/>
          <w:color w:val="403F3C"/>
          <w:sz w:val="18"/>
          <w:szCs w:val="18"/>
        </w:rPr>
        <w:t>Not</w:t>
      </w:r>
      <w:proofErr w:type="gramEnd"/>
      <w:r w:rsidRPr="00695529">
        <w:rPr>
          <w:rFonts w:ascii="Arial" w:eastAsia="Times New Roman" w:hAnsi="Arial" w:cs="Arial"/>
          <w:color w:val="403F3C"/>
          <w:sz w:val="18"/>
          <w:szCs w:val="18"/>
        </w:rPr>
        <w:t xml:space="preserve"> classified as causing organ effects from single exposure. However, inhalation of bitumen </w:t>
      </w:r>
      <w:r w:rsidRPr="00695529">
        <w:rPr>
          <w:rFonts w:ascii="Arial" w:eastAsia="Times New Roman" w:hAnsi="Arial" w:cs="Arial"/>
          <w:b/>
          <w:bCs/>
          <w:color w:val="403F3C"/>
          <w:sz w:val="18"/>
          <w:szCs w:val="18"/>
        </w:rPr>
        <w:t>Exposure</w:t>
      </w:r>
      <w:r w:rsidRPr="00695529">
        <w:rPr>
          <w:rFonts w:ascii="Arial" w:eastAsia="Times New Roman" w:hAnsi="Arial" w:cs="Arial"/>
          <w:color w:val="403F3C"/>
          <w:sz w:val="18"/>
          <w:szCs w:val="18"/>
        </w:rPr>
        <w:t>             fumes may cause headache, nausea and respiratory tract irritation. This material may</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xml:space="preserve">                                  Release trace quantities of hydrogen </w:t>
      </w:r>
      <w:proofErr w:type="spellStart"/>
      <w:r w:rsidRPr="00695529">
        <w:rPr>
          <w:rFonts w:ascii="Arial" w:eastAsia="Times New Roman" w:hAnsi="Arial" w:cs="Arial"/>
          <w:color w:val="403F3C"/>
          <w:sz w:val="18"/>
          <w:szCs w:val="18"/>
        </w:rPr>
        <w:t>sulphide</w:t>
      </w:r>
      <w:proofErr w:type="spellEnd"/>
      <w:r w:rsidRPr="00695529">
        <w:rPr>
          <w:rFonts w:ascii="Arial" w:eastAsia="Times New Roman" w:hAnsi="Arial" w:cs="Arial"/>
          <w:color w:val="403F3C"/>
          <w:sz w:val="18"/>
          <w:szCs w:val="18"/>
        </w:rPr>
        <w:t xml:space="preserve"> within storage facilities.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STOT –repeated</w:t>
      </w:r>
      <w:r w:rsidRPr="00695529">
        <w:rPr>
          <w:rFonts w:ascii="Arial" w:eastAsia="Times New Roman" w:hAnsi="Arial" w:cs="Arial"/>
          <w:color w:val="403F3C"/>
          <w:sz w:val="18"/>
          <w:szCs w:val="18"/>
        </w:rPr>
        <w:t xml:space="preserve">     </w:t>
      </w:r>
      <w:proofErr w:type="gramStart"/>
      <w:r w:rsidRPr="00695529">
        <w:rPr>
          <w:rFonts w:ascii="Arial" w:eastAsia="Times New Roman" w:hAnsi="Arial" w:cs="Arial"/>
          <w:color w:val="403F3C"/>
          <w:sz w:val="18"/>
          <w:szCs w:val="18"/>
        </w:rPr>
        <w:t>Not</w:t>
      </w:r>
      <w:proofErr w:type="gramEnd"/>
      <w:r w:rsidRPr="00695529">
        <w:rPr>
          <w:rFonts w:ascii="Arial" w:eastAsia="Times New Roman" w:hAnsi="Arial" w:cs="Arial"/>
          <w:color w:val="403F3C"/>
          <w:sz w:val="18"/>
          <w:szCs w:val="18"/>
        </w:rPr>
        <w:t xml:space="preserve"> classified as causing organ effects from repeated exposure.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Exposure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Aspiration</w:t>
      </w:r>
      <w:r w:rsidRPr="00695529">
        <w:rPr>
          <w:rFonts w:ascii="Arial" w:eastAsia="Times New Roman" w:hAnsi="Arial" w:cs="Arial"/>
          <w:color w:val="403F3C"/>
          <w:sz w:val="18"/>
          <w:szCs w:val="18"/>
        </w:rPr>
        <w:t>              This product is not expected to present an aspiration hazard.</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12.  ECOLOGICAL INFORMATION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Toxicity</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When set, the bulk of the bitumen dispersed in asphalt is fairly inert, and should not present an environmental hazard under normal conditions.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Persistence and degradability</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Can be expected to biodegrade slowly</w:t>
      </w:r>
    </w:p>
    <w:p w:rsidR="00695529" w:rsidRPr="00695529" w:rsidRDefault="00695529" w:rsidP="00695529">
      <w:pPr>
        <w:spacing w:after="0" w:line="336" w:lineRule="atLeast"/>
        <w:rPr>
          <w:rFonts w:ascii="Arial" w:eastAsia="Times New Roman" w:hAnsi="Arial" w:cs="Arial"/>
          <w:color w:val="403F3C"/>
          <w:sz w:val="24"/>
          <w:szCs w:val="24"/>
        </w:rPr>
      </w:pPr>
      <w:proofErr w:type="spellStart"/>
      <w:r w:rsidRPr="00695529">
        <w:rPr>
          <w:rFonts w:ascii="Arial" w:eastAsia="Times New Roman" w:hAnsi="Arial" w:cs="Arial"/>
          <w:b/>
          <w:bCs/>
          <w:color w:val="403F3C"/>
          <w:sz w:val="20"/>
          <w:szCs w:val="20"/>
        </w:rPr>
        <w:t>Bioaccumalative</w:t>
      </w:r>
      <w:proofErr w:type="spellEnd"/>
      <w:r w:rsidRPr="00695529">
        <w:rPr>
          <w:rFonts w:ascii="Arial" w:eastAsia="Times New Roman" w:hAnsi="Arial" w:cs="Arial"/>
          <w:b/>
          <w:bCs/>
          <w:color w:val="403F3C"/>
          <w:sz w:val="20"/>
          <w:szCs w:val="20"/>
        </w:rPr>
        <w:t xml:space="preserve"> potential</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 xml:space="preserve">This product is not expected to </w:t>
      </w:r>
      <w:proofErr w:type="spellStart"/>
      <w:r w:rsidRPr="00695529">
        <w:rPr>
          <w:rFonts w:ascii="Arial" w:eastAsia="Times New Roman" w:hAnsi="Arial" w:cs="Arial"/>
          <w:color w:val="403F3C"/>
          <w:sz w:val="20"/>
          <w:szCs w:val="20"/>
        </w:rPr>
        <w:t>bioaccumulate</w:t>
      </w:r>
      <w:proofErr w:type="spellEnd"/>
      <w:r w:rsidRPr="00695529">
        <w:rPr>
          <w:rFonts w:ascii="Arial" w:eastAsia="Times New Roman" w:hAnsi="Arial" w:cs="Arial"/>
          <w:color w:val="403F3C"/>
          <w:sz w:val="20"/>
          <w:szCs w:val="20"/>
        </w:rPr>
        <w:t xml:space="preserve"> through food chains in the environment.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Mobility in soil</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Emulsifies in water. Spillages are unlikely to penetrate soil.</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Other Adverse effects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0"/>
          <w:szCs w:val="20"/>
        </w:rPr>
        <w:t>Avoid uncured emulsion run off into storm water drainage system.</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13.  DISPOSAL CONSIDERATIONS</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r w:rsidRPr="00695529">
        <w:rPr>
          <w:rFonts w:ascii="Arial" w:eastAsia="Times New Roman" w:hAnsi="Arial" w:cs="Arial"/>
          <w:b/>
          <w:bCs/>
          <w:color w:val="403F3C"/>
          <w:sz w:val="18"/>
          <w:szCs w:val="18"/>
          <w:u w:val="single"/>
        </w:rPr>
        <w:t>Waste treatment methods</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Waste disposal    </w:t>
      </w:r>
      <w:proofErr w:type="gramStart"/>
      <w:r w:rsidRPr="00695529">
        <w:rPr>
          <w:rFonts w:ascii="Arial" w:eastAsia="Times New Roman" w:hAnsi="Arial" w:cs="Arial"/>
          <w:color w:val="403F3C"/>
          <w:sz w:val="18"/>
          <w:szCs w:val="18"/>
        </w:rPr>
        <w:t>For</w:t>
      </w:r>
      <w:proofErr w:type="gramEnd"/>
      <w:r w:rsidRPr="00695529">
        <w:rPr>
          <w:rFonts w:ascii="Arial" w:eastAsia="Times New Roman" w:hAnsi="Arial" w:cs="Arial"/>
          <w:color w:val="403F3C"/>
          <w:sz w:val="18"/>
          <w:szCs w:val="18"/>
        </w:rPr>
        <w:t xml:space="preserve"> small amounts dispose of to an approved landfill site. Contact the manufacturer for additional information if larger amounts are involved. Prevent contamination of drains and waterways as aquatic life may be threatened and environmental damage may result.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lastRenderedPageBreak/>
        <w:t>Legislation              </w:t>
      </w:r>
      <w:r w:rsidRPr="00695529">
        <w:rPr>
          <w:rFonts w:ascii="Arial" w:eastAsia="Times New Roman" w:hAnsi="Arial" w:cs="Arial"/>
          <w:color w:val="403F3C"/>
          <w:sz w:val="18"/>
          <w:szCs w:val="18"/>
        </w:rPr>
        <w:t>Dispose of in accordance with relevant local legislation.</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14. TRANSPORTATION INFORMATION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NOT CLASSIFIED AS A DANGEROUS GOOD BY THE CRITERIA OF THE ADG CODE, IMDG OR IATA</w:t>
      </w:r>
    </w:p>
    <w:tbl>
      <w:tblPr>
        <w:tblW w:w="6705" w:type="dxa"/>
        <w:jc w:val="center"/>
        <w:tblCellMar>
          <w:left w:w="0" w:type="dxa"/>
          <w:right w:w="0" w:type="dxa"/>
        </w:tblCellMar>
        <w:tblLook w:val="04A0" w:firstRow="1" w:lastRow="0" w:firstColumn="1" w:lastColumn="0" w:noHBand="0" w:noVBand="1"/>
      </w:tblPr>
      <w:tblGrid>
        <w:gridCol w:w="2082"/>
        <w:gridCol w:w="1541"/>
        <w:gridCol w:w="1541"/>
        <w:gridCol w:w="1541"/>
      </w:tblGrid>
      <w:tr w:rsidR="00695529" w:rsidRPr="00695529" w:rsidTr="00695529">
        <w:trPr>
          <w:trHeight w:val="525"/>
          <w:jc w:val="center"/>
        </w:trPr>
        <w:tc>
          <w:tcPr>
            <w:tcW w:w="208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240" w:lineRule="auto"/>
              <w:rPr>
                <w:rFonts w:ascii="Times New Roman" w:eastAsia="Times New Roman" w:hAnsi="Times New Roman" w:cs="Times New Roman"/>
                <w:sz w:val="24"/>
                <w:szCs w:val="24"/>
              </w:rPr>
            </w:pPr>
            <w:r w:rsidRPr="00695529">
              <w:rPr>
                <w:rFonts w:ascii="Times New Roman" w:eastAsia="Times New Roman" w:hAnsi="Times New Roman" w:cs="Times New Roman"/>
                <w:sz w:val="24"/>
                <w:szCs w:val="24"/>
              </w:rPr>
              <w:t> </w:t>
            </w:r>
          </w:p>
        </w:tc>
        <w:tc>
          <w:tcPr>
            <w:tcW w:w="1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b/>
                <w:bCs/>
                <w:color w:val="000000"/>
                <w:sz w:val="20"/>
                <w:szCs w:val="20"/>
              </w:rPr>
              <w:t>Land Transport (ADG)</w:t>
            </w:r>
          </w:p>
        </w:tc>
        <w:tc>
          <w:tcPr>
            <w:tcW w:w="1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b/>
                <w:bCs/>
                <w:color w:val="000000"/>
                <w:sz w:val="20"/>
                <w:szCs w:val="20"/>
              </w:rPr>
              <w:t>Sea Transport (IMDG / IMO)</w:t>
            </w:r>
          </w:p>
        </w:tc>
        <w:tc>
          <w:tcPr>
            <w:tcW w:w="1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b/>
                <w:bCs/>
                <w:color w:val="000000"/>
                <w:sz w:val="20"/>
                <w:szCs w:val="20"/>
              </w:rPr>
              <w:t>Air Transport (IATA / ICAO)</w:t>
            </w:r>
          </w:p>
        </w:tc>
      </w:tr>
      <w:tr w:rsidR="00695529" w:rsidRPr="00695529" w:rsidTr="00695529">
        <w:trPr>
          <w:trHeight w:val="300"/>
          <w:jc w:val="center"/>
        </w:trPr>
        <w:tc>
          <w:tcPr>
            <w:tcW w:w="20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rPr>
                <w:rFonts w:ascii="Times New Roman" w:eastAsia="Times New Roman" w:hAnsi="Times New Roman" w:cs="Times New Roman"/>
                <w:color w:val="403F3C"/>
                <w:sz w:val="24"/>
                <w:szCs w:val="24"/>
              </w:rPr>
            </w:pPr>
            <w:r w:rsidRPr="00695529">
              <w:rPr>
                <w:rFonts w:ascii="Calibri" w:eastAsia="Times New Roman" w:hAnsi="Calibri" w:cs="Times New Roman"/>
                <w:b/>
                <w:bCs/>
                <w:color w:val="000000"/>
                <w:sz w:val="20"/>
                <w:szCs w:val="20"/>
              </w:rPr>
              <w:t>UN Number</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r>
      <w:tr w:rsidR="00695529" w:rsidRPr="00695529" w:rsidTr="00695529">
        <w:trPr>
          <w:trHeight w:val="300"/>
          <w:jc w:val="center"/>
        </w:trPr>
        <w:tc>
          <w:tcPr>
            <w:tcW w:w="20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rPr>
                <w:rFonts w:ascii="Times New Roman" w:eastAsia="Times New Roman" w:hAnsi="Times New Roman" w:cs="Times New Roman"/>
                <w:color w:val="403F3C"/>
                <w:sz w:val="24"/>
                <w:szCs w:val="24"/>
              </w:rPr>
            </w:pPr>
            <w:r w:rsidRPr="00695529">
              <w:rPr>
                <w:rFonts w:ascii="Calibri" w:eastAsia="Times New Roman" w:hAnsi="Calibri" w:cs="Times New Roman"/>
                <w:b/>
                <w:bCs/>
                <w:color w:val="000000"/>
                <w:sz w:val="20"/>
                <w:szCs w:val="20"/>
              </w:rPr>
              <w:t>Proper Shipping Name</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r>
      <w:tr w:rsidR="00695529" w:rsidRPr="00695529" w:rsidTr="00695529">
        <w:trPr>
          <w:trHeight w:val="300"/>
          <w:jc w:val="center"/>
        </w:trPr>
        <w:tc>
          <w:tcPr>
            <w:tcW w:w="20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rPr>
                <w:rFonts w:ascii="Times New Roman" w:eastAsia="Times New Roman" w:hAnsi="Times New Roman" w:cs="Times New Roman"/>
                <w:color w:val="403F3C"/>
                <w:sz w:val="24"/>
                <w:szCs w:val="24"/>
              </w:rPr>
            </w:pPr>
            <w:r w:rsidRPr="00695529">
              <w:rPr>
                <w:rFonts w:ascii="Calibri" w:eastAsia="Times New Roman" w:hAnsi="Calibri" w:cs="Times New Roman"/>
                <w:b/>
                <w:bCs/>
                <w:color w:val="000000"/>
                <w:sz w:val="20"/>
                <w:szCs w:val="20"/>
              </w:rPr>
              <w:t>Transport Hazard Class</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r>
      <w:tr w:rsidR="00695529" w:rsidRPr="00695529" w:rsidTr="00695529">
        <w:trPr>
          <w:trHeight w:val="300"/>
          <w:jc w:val="center"/>
        </w:trPr>
        <w:tc>
          <w:tcPr>
            <w:tcW w:w="208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rPr>
                <w:rFonts w:ascii="Times New Roman" w:eastAsia="Times New Roman" w:hAnsi="Times New Roman" w:cs="Times New Roman"/>
                <w:color w:val="403F3C"/>
                <w:sz w:val="24"/>
                <w:szCs w:val="24"/>
              </w:rPr>
            </w:pPr>
            <w:r w:rsidRPr="00695529">
              <w:rPr>
                <w:rFonts w:ascii="Calibri" w:eastAsia="Times New Roman" w:hAnsi="Calibri" w:cs="Times New Roman"/>
                <w:b/>
                <w:bCs/>
                <w:color w:val="000000"/>
                <w:sz w:val="20"/>
                <w:szCs w:val="20"/>
              </w:rPr>
              <w:t>Packing Group</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695529" w:rsidRPr="00695529" w:rsidRDefault="00695529" w:rsidP="00695529">
            <w:pPr>
              <w:spacing w:after="0" w:line="336" w:lineRule="atLeast"/>
              <w:jc w:val="center"/>
              <w:rPr>
                <w:rFonts w:ascii="Times New Roman" w:eastAsia="Times New Roman" w:hAnsi="Times New Roman" w:cs="Times New Roman"/>
                <w:color w:val="403F3C"/>
                <w:sz w:val="24"/>
                <w:szCs w:val="24"/>
              </w:rPr>
            </w:pPr>
            <w:r w:rsidRPr="00695529">
              <w:rPr>
                <w:rFonts w:ascii="Calibri" w:eastAsia="Times New Roman" w:hAnsi="Calibri" w:cs="Times New Roman"/>
                <w:color w:val="000000"/>
                <w:sz w:val="20"/>
                <w:szCs w:val="20"/>
              </w:rPr>
              <w:t>None Allocated</w:t>
            </w:r>
          </w:p>
        </w:tc>
      </w:tr>
    </w:tbl>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Environmental Hazards          </w:t>
      </w:r>
      <w:r w:rsidRPr="00695529">
        <w:rPr>
          <w:rFonts w:ascii="Arial" w:eastAsia="Times New Roman" w:hAnsi="Arial" w:cs="Arial"/>
          <w:color w:val="403F3C"/>
          <w:sz w:val="20"/>
          <w:szCs w:val="20"/>
        </w:rPr>
        <w:t>No Information provided</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Special Precautions for User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20"/>
          <w:szCs w:val="20"/>
        </w:rPr>
        <w:t>Hazchem Code</w:t>
      </w:r>
      <w:r w:rsidRPr="00695529">
        <w:rPr>
          <w:rFonts w:ascii="Arial" w:eastAsia="Times New Roman" w:hAnsi="Arial" w:cs="Arial"/>
          <w:color w:val="403F3C"/>
          <w:sz w:val="20"/>
          <w:szCs w:val="20"/>
        </w:rPr>
        <w:t>                             None Allocated</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15. REGULATORY INFORMATION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u w:val="single"/>
        </w:rPr>
        <w:t>Safety, health and environmental regulations/legislation specific for the substance or mixture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Poison schedule</w:t>
      </w:r>
      <w:proofErr w:type="gramStart"/>
      <w:r w:rsidRPr="00695529">
        <w:rPr>
          <w:rFonts w:ascii="Arial" w:eastAsia="Times New Roman" w:hAnsi="Arial" w:cs="Arial"/>
          <w:color w:val="403F3C"/>
          <w:sz w:val="18"/>
          <w:szCs w:val="18"/>
        </w:rPr>
        <w:t>  A</w:t>
      </w:r>
      <w:proofErr w:type="gramEnd"/>
      <w:r w:rsidRPr="00695529">
        <w:rPr>
          <w:rFonts w:ascii="Arial" w:eastAsia="Times New Roman" w:hAnsi="Arial" w:cs="Arial"/>
          <w:color w:val="403F3C"/>
          <w:sz w:val="18"/>
          <w:szCs w:val="18"/>
        </w:rPr>
        <w:t xml:space="preserve"> poison schedule number has not been allocated to this product using the criteria in the Standard for the uniform Scheduling of Medicines and Poisons (SUSMP)</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b/>
          <w:bCs/>
          <w:color w:val="403F3C"/>
          <w:sz w:val="18"/>
          <w:szCs w:val="18"/>
        </w:rPr>
        <w:t>Classification</w:t>
      </w:r>
      <w:r w:rsidRPr="00695529">
        <w:rPr>
          <w:rFonts w:ascii="Arial" w:eastAsia="Times New Roman" w:hAnsi="Arial" w:cs="Arial"/>
          <w:color w:val="403F3C"/>
          <w:sz w:val="18"/>
          <w:szCs w:val="18"/>
        </w:rPr>
        <w:t>       Safe work Australia criteria is based on the Globally Harmonized System (GHS) of Classification and Labelling chemicals.</w:t>
      </w:r>
    </w:p>
    <w:p w:rsidR="00695529" w:rsidRPr="00695529" w:rsidRDefault="00695529" w:rsidP="00695529">
      <w:pPr>
        <w:spacing w:after="0" w:line="336" w:lineRule="atLeast"/>
        <w:ind w:left="1440" w:hanging="1440"/>
        <w:rPr>
          <w:rFonts w:ascii="Arial" w:eastAsia="Times New Roman" w:hAnsi="Arial" w:cs="Arial"/>
          <w:color w:val="403F3C"/>
          <w:sz w:val="24"/>
          <w:szCs w:val="24"/>
        </w:rPr>
      </w:pPr>
      <w:r w:rsidRPr="00695529">
        <w:rPr>
          <w:rFonts w:ascii="Arial" w:eastAsia="Times New Roman" w:hAnsi="Arial" w:cs="Arial"/>
          <w:color w:val="403F3C"/>
          <w:sz w:val="18"/>
          <w:szCs w:val="18"/>
        </w:rPr>
        <w:t>                                The classification and phrases listed below are based on the approved criteria for classifying hazardous substances (NOHSC: 1008 (2004))</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Hazard Codes         </w:t>
      </w:r>
      <w:proofErr w:type="spellStart"/>
      <w:r w:rsidRPr="00695529">
        <w:rPr>
          <w:rFonts w:ascii="Arial" w:eastAsia="Times New Roman" w:hAnsi="Arial" w:cs="Arial"/>
          <w:color w:val="403F3C"/>
          <w:sz w:val="18"/>
          <w:szCs w:val="18"/>
        </w:rPr>
        <w:t>Carc</w:t>
      </w:r>
      <w:proofErr w:type="spellEnd"/>
      <w:r w:rsidRPr="00695529">
        <w:rPr>
          <w:rFonts w:ascii="Arial" w:eastAsia="Times New Roman" w:hAnsi="Arial" w:cs="Arial"/>
          <w:color w:val="403F3C"/>
          <w:sz w:val="18"/>
          <w:szCs w:val="18"/>
        </w:rPr>
        <w:t>.               Carcinogen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N                     Dangerous for the Environment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Risk Phrases</w:t>
      </w:r>
      <w:r w:rsidRPr="00695529">
        <w:rPr>
          <w:rFonts w:ascii="Arial" w:eastAsia="Times New Roman" w:hAnsi="Arial" w:cs="Arial"/>
          <w:color w:val="403F3C"/>
          <w:sz w:val="18"/>
          <w:szCs w:val="18"/>
        </w:rPr>
        <w:t>          R40                 Limited evidence of a carcinogenic effect.</w:t>
      </w:r>
    </w:p>
    <w:p w:rsidR="00695529" w:rsidRPr="00695529" w:rsidRDefault="00695529" w:rsidP="00695529">
      <w:pPr>
        <w:spacing w:after="0" w:line="336" w:lineRule="atLeast"/>
        <w:ind w:left="2610" w:hanging="2610"/>
        <w:rPr>
          <w:rFonts w:ascii="Arial" w:eastAsia="Times New Roman" w:hAnsi="Arial" w:cs="Arial"/>
          <w:color w:val="403F3C"/>
          <w:sz w:val="24"/>
          <w:szCs w:val="24"/>
        </w:rPr>
      </w:pPr>
      <w:r w:rsidRPr="00695529">
        <w:rPr>
          <w:rFonts w:ascii="Arial" w:eastAsia="Times New Roman" w:hAnsi="Arial" w:cs="Arial"/>
          <w:color w:val="403F3C"/>
          <w:sz w:val="18"/>
          <w:szCs w:val="18"/>
        </w:rPr>
        <w:t>                                  R52/53          Harmful to aquatic organisms, may cause long-term adverse effects in the aquatic environment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Safety Phrases        </w:t>
      </w:r>
      <w:r w:rsidRPr="00695529">
        <w:rPr>
          <w:rFonts w:ascii="Arial" w:eastAsia="Times New Roman" w:hAnsi="Arial" w:cs="Arial"/>
          <w:color w:val="403F3C"/>
          <w:sz w:val="18"/>
          <w:szCs w:val="18"/>
        </w:rPr>
        <w:t xml:space="preserve">S36/37           </w:t>
      </w:r>
      <w:proofErr w:type="gramStart"/>
      <w:r w:rsidRPr="00695529">
        <w:rPr>
          <w:rFonts w:ascii="Arial" w:eastAsia="Times New Roman" w:hAnsi="Arial" w:cs="Arial"/>
          <w:color w:val="403F3C"/>
          <w:sz w:val="18"/>
          <w:szCs w:val="18"/>
        </w:rPr>
        <w:t>Wear</w:t>
      </w:r>
      <w:proofErr w:type="gramEnd"/>
      <w:r w:rsidRPr="00695529">
        <w:rPr>
          <w:rFonts w:ascii="Arial" w:eastAsia="Times New Roman" w:hAnsi="Arial" w:cs="Arial"/>
          <w:color w:val="403F3C"/>
          <w:sz w:val="18"/>
          <w:szCs w:val="18"/>
        </w:rPr>
        <w:t xml:space="preserve"> suitable protective clothing and gloves.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Inventory listing (s)                     AUSTRALIA: AICS (Australia inventory of chemical substances)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w:t>
      </w:r>
      <w:r w:rsidRPr="00695529">
        <w:rPr>
          <w:rFonts w:ascii="Arial" w:eastAsia="Times New Roman" w:hAnsi="Arial" w:cs="Arial"/>
          <w:color w:val="403F3C"/>
          <w:sz w:val="18"/>
          <w:szCs w:val="18"/>
        </w:rPr>
        <w:t>All components are listed on AICS, or are exempt.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300" w:line="336" w:lineRule="atLeast"/>
        <w:rPr>
          <w:rFonts w:ascii="Arial" w:eastAsia="Times New Roman" w:hAnsi="Arial" w:cs="Arial"/>
          <w:color w:val="403F3C"/>
          <w:sz w:val="24"/>
          <w:szCs w:val="24"/>
        </w:rPr>
      </w:pPr>
      <w:r w:rsidRPr="00695529">
        <w:rPr>
          <w:rFonts w:ascii="Arial" w:eastAsia="Times New Roman" w:hAnsi="Arial" w:cs="Arial"/>
          <w:b/>
          <w:bCs/>
          <w:color w:val="403F3C"/>
          <w:sz w:val="24"/>
          <w:szCs w:val="24"/>
        </w:rPr>
        <w:t>Section 16. ADDITIONAL INFORMATION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lastRenderedPageBreak/>
        <w:t>Additional Information               Personal protective equipment guidelines:</w:t>
      </w:r>
    </w:p>
    <w:p w:rsidR="00695529" w:rsidRPr="00695529" w:rsidRDefault="00695529" w:rsidP="00695529">
      <w:pPr>
        <w:spacing w:after="0" w:line="336" w:lineRule="atLeast"/>
        <w:ind w:left="2610"/>
        <w:rPr>
          <w:rFonts w:ascii="Arial" w:eastAsia="Times New Roman" w:hAnsi="Arial" w:cs="Arial"/>
          <w:color w:val="403F3C"/>
          <w:sz w:val="24"/>
          <w:szCs w:val="24"/>
        </w:rPr>
      </w:pPr>
      <w:r w:rsidRPr="00695529">
        <w:rPr>
          <w:rFonts w:ascii="Arial" w:eastAsia="Times New Roman" w:hAnsi="Arial" w:cs="Arial"/>
          <w:color w:val="403F3C"/>
          <w:sz w:val="18"/>
          <w:szCs w:val="18"/>
        </w:rPr>
        <w:t>The recommendation for protective equipment contain within this report is provided as a guide only. Factors such as method of application, working environment, quantity used, product concentration and the availability of engineering controls should be considered before final selection of personal protective equipment is mad.</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Health effects from exposure:  </w:t>
      </w:r>
      <w:r w:rsidRPr="00695529">
        <w:rPr>
          <w:rFonts w:ascii="Arial" w:eastAsia="Times New Roman" w:hAnsi="Arial" w:cs="Arial"/>
          <w:color w:val="403F3C"/>
          <w:sz w:val="18"/>
          <w:szCs w:val="18"/>
        </w:rPr>
        <w:t>it should be noted that the effects from exposure to this product will depend on several factors including: frequency and duration of use; quantity used; effectiveness of control measures; protective equipment used and method of application. Given that it is impractical to prepare a report which would encompass all possible scenarios, it is anticipated that users will assess the risk and apply control methods where appropriate.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24"/>
          <w:szCs w:val="24"/>
        </w:rPr>
        <w:t>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Scale for NFPA and HMIS Ratings:</w:t>
      </w:r>
    </w:p>
    <w:p w:rsidR="00695529" w:rsidRPr="00695529" w:rsidRDefault="00695529" w:rsidP="00695529">
      <w:pPr>
        <w:spacing w:after="12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0-least, 1-Slight, 2-Moderate, 3-High, 4-Extreme, PPE- Personal Protective Equipment Index Recommendation, *-Chronic Effect Indicator. These values are obtained using the guidelines or published evaluations prepared by the National Fire Protections Association (NFPA) or the National Paint and Coatings Association (for HMIS ratings).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ABBREVIATIONS:    </w:t>
      </w:r>
      <w:r w:rsidRPr="00695529">
        <w:rPr>
          <w:rFonts w:ascii="Arial" w:eastAsia="Times New Roman" w:hAnsi="Arial" w:cs="Arial"/>
          <w:b/>
          <w:bCs/>
          <w:color w:val="403F3C"/>
          <w:sz w:val="18"/>
          <w:szCs w:val="18"/>
        </w:rPr>
        <w:t>TLV </w:t>
      </w:r>
      <w:r w:rsidRPr="00695529">
        <w:rPr>
          <w:rFonts w:ascii="Arial" w:eastAsia="Times New Roman" w:hAnsi="Arial" w:cs="Arial"/>
          <w:color w:val="403F3C"/>
          <w:sz w:val="18"/>
          <w:szCs w:val="18"/>
        </w:rPr>
        <w:t>– Threshold Limit Value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TWA</w:t>
      </w:r>
      <w:r w:rsidRPr="00695529">
        <w:rPr>
          <w:rFonts w:ascii="Arial" w:eastAsia="Times New Roman" w:hAnsi="Arial" w:cs="Arial"/>
          <w:color w:val="403F3C"/>
          <w:sz w:val="18"/>
          <w:szCs w:val="18"/>
        </w:rPr>
        <w:t> – Time Weighted Average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STEL</w:t>
      </w:r>
      <w:r w:rsidRPr="00695529">
        <w:rPr>
          <w:rFonts w:ascii="Arial" w:eastAsia="Times New Roman" w:hAnsi="Arial" w:cs="Arial"/>
          <w:color w:val="403F3C"/>
          <w:sz w:val="18"/>
          <w:szCs w:val="18"/>
        </w:rPr>
        <w:t> – Short-term Exposure Limit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REL/PEL</w:t>
      </w:r>
      <w:r w:rsidRPr="00695529">
        <w:rPr>
          <w:rFonts w:ascii="Arial" w:eastAsia="Times New Roman" w:hAnsi="Arial" w:cs="Arial"/>
          <w:color w:val="403F3C"/>
          <w:sz w:val="18"/>
          <w:szCs w:val="18"/>
        </w:rPr>
        <w:t> – Recommended/ Permissible Exposure Limit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b/>
          <w:bCs/>
          <w:color w:val="403F3C"/>
          <w:sz w:val="18"/>
          <w:szCs w:val="18"/>
        </w:rPr>
        <w:t>                                  NA </w:t>
      </w:r>
      <w:r w:rsidRPr="00695529">
        <w:rPr>
          <w:rFonts w:ascii="Arial" w:eastAsia="Times New Roman" w:hAnsi="Arial" w:cs="Arial"/>
          <w:color w:val="403F3C"/>
          <w:sz w:val="18"/>
          <w:szCs w:val="18"/>
        </w:rPr>
        <w:t>– Not Applicable                                                          </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CAS</w:t>
      </w:r>
      <w:r w:rsidRPr="00695529">
        <w:rPr>
          <w:rFonts w:ascii="Arial" w:eastAsia="Times New Roman" w:hAnsi="Arial" w:cs="Arial"/>
          <w:color w:val="403F3C"/>
          <w:sz w:val="18"/>
          <w:szCs w:val="18"/>
        </w:rPr>
        <w:t> – Chemical Abstract Service Number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ACGIH </w:t>
      </w:r>
      <w:r w:rsidRPr="00695529">
        <w:rPr>
          <w:rFonts w:ascii="Arial" w:eastAsia="Times New Roman" w:hAnsi="Arial" w:cs="Arial"/>
          <w:color w:val="403F3C"/>
          <w:sz w:val="18"/>
          <w:szCs w:val="18"/>
        </w:rPr>
        <w:t>– American conference of governmental industrial hygienists</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CNS </w:t>
      </w:r>
      <w:r w:rsidRPr="00695529">
        <w:rPr>
          <w:rFonts w:ascii="Arial" w:eastAsia="Times New Roman" w:hAnsi="Arial" w:cs="Arial"/>
          <w:color w:val="403F3C"/>
          <w:sz w:val="18"/>
          <w:szCs w:val="18"/>
        </w:rPr>
        <w:t>– Central Nervous System</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EC No</w:t>
      </w:r>
      <w:r w:rsidRPr="00695529">
        <w:rPr>
          <w:rFonts w:ascii="Arial" w:eastAsia="Times New Roman" w:hAnsi="Arial" w:cs="Arial"/>
          <w:color w:val="403F3C"/>
          <w:sz w:val="18"/>
          <w:szCs w:val="18"/>
        </w:rPr>
        <w:t>.  – EC No - European Community Number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GHS</w:t>
      </w:r>
      <w:r w:rsidRPr="00695529">
        <w:rPr>
          <w:rFonts w:ascii="Arial" w:eastAsia="Times New Roman" w:hAnsi="Arial" w:cs="Arial"/>
          <w:color w:val="403F3C"/>
          <w:sz w:val="18"/>
          <w:szCs w:val="18"/>
        </w:rPr>
        <w:t> – Globally Harmonized System</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LC50</w:t>
      </w:r>
      <w:r w:rsidRPr="00695529">
        <w:rPr>
          <w:rFonts w:ascii="Arial" w:eastAsia="Times New Roman" w:hAnsi="Arial" w:cs="Arial"/>
          <w:color w:val="403F3C"/>
          <w:sz w:val="18"/>
          <w:szCs w:val="18"/>
        </w:rPr>
        <w:t> – Lethal Concentration, 50% / Median Lethal Concentration</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LD50 </w:t>
      </w:r>
      <w:r w:rsidRPr="00695529">
        <w:rPr>
          <w:rFonts w:ascii="Arial" w:eastAsia="Times New Roman" w:hAnsi="Arial" w:cs="Arial"/>
          <w:color w:val="403F3C"/>
          <w:sz w:val="18"/>
          <w:szCs w:val="18"/>
        </w:rPr>
        <w:t>– Lethal Dose, 50% / Median Lethal Dose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Mg/m</w:t>
      </w:r>
      <w:r w:rsidRPr="00695529">
        <w:rPr>
          <w:rFonts w:ascii="Arial" w:eastAsia="Times New Roman" w:hAnsi="Arial" w:cs="Arial"/>
          <w:b/>
          <w:bCs/>
          <w:color w:val="403F3C"/>
          <w:sz w:val="14"/>
          <w:szCs w:val="14"/>
          <w:vertAlign w:val="superscript"/>
        </w:rPr>
        <w:t>3</w:t>
      </w:r>
      <w:r w:rsidRPr="00695529">
        <w:rPr>
          <w:rFonts w:ascii="Arial" w:eastAsia="Times New Roman" w:hAnsi="Arial" w:cs="Arial"/>
          <w:color w:val="403F3C"/>
          <w:sz w:val="14"/>
          <w:szCs w:val="14"/>
          <w:vertAlign w:val="superscript"/>
        </w:rPr>
        <w:t> – </w:t>
      </w:r>
      <w:r w:rsidRPr="00695529">
        <w:rPr>
          <w:rFonts w:ascii="Arial" w:eastAsia="Times New Roman" w:hAnsi="Arial" w:cs="Arial"/>
          <w:color w:val="403F3C"/>
          <w:sz w:val="18"/>
          <w:szCs w:val="18"/>
        </w:rPr>
        <w:t>Milligrams per Cubic Meter</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OEL</w:t>
      </w:r>
      <w:r w:rsidRPr="00695529">
        <w:rPr>
          <w:rFonts w:ascii="Arial" w:eastAsia="Times New Roman" w:hAnsi="Arial" w:cs="Arial"/>
          <w:color w:val="403F3C"/>
          <w:sz w:val="18"/>
          <w:szCs w:val="18"/>
        </w:rPr>
        <w:t> – Occupational Exposure Limit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PEL </w:t>
      </w:r>
      <w:r w:rsidRPr="00695529">
        <w:rPr>
          <w:rFonts w:ascii="Arial" w:eastAsia="Times New Roman" w:hAnsi="Arial" w:cs="Arial"/>
          <w:color w:val="403F3C"/>
          <w:sz w:val="18"/>
          <w:szCs w:val="18"/>
        </w:rPr>
        <w:t>- Permissible exposure limit</w:t>
      </w:r>
    </w:p>
    <w:p w:rsidR="00695529" w:rsidRPr="00695529" w:rsidRDefault="00695529" w:rsidP="00695529">
      <w:pPr>
        <w:spacing w:after="0" w:line="336" w:lineRule="atLeast"/>
        <w:ind w:left="1440"/>
        <w:rPr>
          <w:rFonts w:ascii="Arial" w:eastAsia="Times New Roman" w:hAnsi="Arial" w:cs="Arial"/>
          <w:color w:val="403F3C"/>
          <w:sz w:val="24"/>
          <w:szCs w:val="24"/>
        </w:rPr>
      </w:pPr>
      <w:r w:rsidRPr="00695529">
        <w:rPr>
          <w:rFonts w:ascii="Arial" w:eastAsia="Times New Roman" w:hAnsi="Arial" w:cs="Arial"/>
          <w:color w:val="403F3C"/>
          <w:sz w:val="18"/>
          <w:szCs w:val="18"/>
        </w:rPr>
        <w:t>  </w:t>
      </w:r>
      <w:r w:rsidRPr="00695529">
        <w:rPr>
          <w:rFonts w:ascii="Arial" w:eastAsia="Times New Roman" w:hAnsi="Arial" w:cs="Arial"/>
          <w:b/>
          <w:bCs/>
          <w:color w:val="403F3C"/>
          <w:sz w:val="18"/>
          <w:szCs w:val="18"/>
        </w:rPr>
        <w:t>PH </w:t>
      </w:r>
      <w:r w:rsidRPr="00695529">
        <w:rPr>
          <w:rFonts w:ascii="Arial" w:eastAsia="Times New Roman" w:hAnsi="Arial" w:cs="Arial"/>
          <w:color w:val="403F3C"/>
          <w:sz w:val="18"/>
          <w:szCs w:val="18"/>
        </w:rPr>
        <w:t>– relates to hydrogen ion concentration using a scale of 0 (high Acidic) to 14 Highly Alkaline).</w:t>
      </w:r>
    </w:p>
    <w:p w:rsidR="00695529" w:rsidRPr="00695529" w:rsidRDefault="00695529" w:rsidP="00695529">
      <w:pPr>
        <w:spacing w:after="0" w:line="336" w:lineRule="atLeast"/>
        <w:ind w:left="1440"/>
        <w:rPr>
          <w:rFonts w:ascii="Arial" w:eastAsia="Times New Roman" w:hAnsi="Arial" w:cs="Arial"/>
          <w:color w:val="403F3C"/>
          <w:sz w:val="24"/>
          <w:szCs w:val="24"/>
        </w:rPr>
      </w:pPr>
      <w:r w:rsidRPr="00695529">
        <w:rPr>
          <w:rFonts w:ascii="Arial" w:eastAsia="Times New Roman" w:hAnsi="Arial" w:cs="Arial"/>
          <w:b/>
          <w:bCs/>
          <w:color w:val="403F3C"/>
          <w:sz w:val="20"/>
          <w:szCs w:val="20"/>
        </w:rPr>
        <w:t> Ppm</w:t>
      </w:r>
      <w:r w:rsidRPr="00695529">
        <w:rPr>
          <w:rFonts w:ascii="Arial" w:eastAsia="Times New Roman" w:hAnsi="Arial" w:cs="Arial"/>
          <w:color w:val="403F3C"/>
          <w:sz w:val="20"/>
          <w:szCs w:val="20"/>
        </w:rPr>
        <w:t> – parts per million</w:t>
      </w:r>
    </w:p>
    <w:p w:rsidR="00695529" w:rsidRPr="00695529" w:rsidRDefault="00695529" w:rsidP="00695529">
      <w:pPr>
        <w:spacing w:after="0" w:line="336" w:lineRule="atLeast"/>
        <w:ind w:left="1440"/>
        <w:rPr>
          <w:rFonts w:ascii="Arial" w:eastAsia="Times New Roman" w:hAnsi="Arial" w:cs="Arial"/>
          <w:color w:val="403F3C"/>
          <w:sz w:val="24"/>
          <w:szCs w:val="24"/>
        </w:rPr>
      </w:pPr>
      <w:r w:rsidRPr="00695529">
        <w:rPr>
          <w:rFonts w:ascii="Arial" w:eastAsia="Times New Roman" w:hAnsi="Arial" w:cs="Arial"/>
          <w:b/>
          <w:bCs/>
          <w:color w:val="403F3C"/>
          <w:sz w:val="20"/>
          <w:szCs w:val="20"/>
        </w:rPr>
        <w:t>REACH</w:t>
      </w:r>
      <w:r w:rsidRPr="00695529">
        <w:rPr>
          <w:rFonts w:ascii="Arial" w:eastAsia="Times New Roman" w:hAnsi="Arial" w:cs="Arial"/>
          <w:color w:val="403F3C"/>
          <w:sz w:val="20"/>
          <w:szCs w:val="20"/>
        </w:rPr>
        <w:t> – Regulation of Registration, evaluation, authorization and restriction of chemicals</w:t>
      </w:r>
    </w:p>
    <w:p w:rsidR="00695529" w:rsidRPr="00695529" w:rsidRDefault="00695529" w:rsidP="00695529">
      <w:pPr>
        <w:spacing w:after="0" w:line="336" w:lineRule="atLeast"/>
        <w:ind w:left="1440"/>
        <w:rPr>
          <w:rFonts w:ascii="Arial" w:eastAsia="Times New Roman" w:hAnsi="Arial" w:cs="Arial"/>
          <w:color w:val="403F3C"/>
          <w:sz w:val="24"/>
          <w:szCs w:val="24"/>
        </w:rPr>
      </w:pPr>
      <w:r w:rsidRPr="00695529">
        <w:rPr>
          <w:rFonts w:ascii="Arial" w:eastAsia="Times New Roman" w:hAnsi="Arial" w:cs="Arial"/>
          <w:b/>
          <w:bCs/>
          <w:color w:val="403F3C"/>
          <w:sz w:val="20"/>
          <w:szCs w:val="20"/>
        </w:rPr>
        <w:lastRenderedPageBreak/>
        <w:t>STOT-RE</w:t>
      </w:r>
      <w:r w:rsidRPr="00695529">
        <w:rPr>
          <w:rFonts w:ascii="Arial" w:eastAsia="Times New Roman" w:hAnsi="Arial" w:cs="Arial"/>
          <w:color w:val="403F3C"/>
          <w:sz w:val="20"/>
          <w:szCs w:val="20"/>
        </w:rPr>
        <w:t> – Specific target organ toxicity (repeated Exposure)</w:t>
      </w:r>
    </w:p>
    <w:p w:rsidR="00695529" w:rsidRPr="00695529" w:rsidRDefault="00695529" w:rsidP="00695529">
      <w:pPr>
        <w:spacing w:after="0" w:line="336" w:lineRule="atLeast"/>
        <w:ind w:left="1440"/>
        <w:rPr>
          <w:rFonts w:ascii="Arial" w:eastAsia="Times New Roman" w:hAnsi="Arial" w:cs="Arial"/>
          <w:color w:val="403F3C"/>
          <w:sz w:val="24"/>
          <w:szCs w:val="24"/>
        </w:rPr>
      </w:pPr>
      <w:r w:rsidRPr="00695529">
        <w:rPr>
          <w:rFonts w:ascii="Arial" w:eastAsia="Times New Roman" w:hAnsi="Arial" w:cs="Arial"/>
          <w:b/>
          <w:bCs/>
          <w:color w:val="403F3C"/>
          <w:sz w:val="20"/>
          <w:szCs w:val="20"/>
        </w:rPr>
        <w:t>STOT-SE</w:t>
      </w:r>
      <w:r w:rsidRPr="00695529">
        <w:rPr>
          <w:rFonts w:ascii="Arial" w:eastAsia="Times New Roman" w:hAnsi="Arial" w:cs="Arial"/>
          <w:color w:val="403F3C"/>
          <w:sz w:val="20"/>
          <w:szCs w:val="20"/>
        </w:rPr>
        <w:t> – Specific Target organ toxicity (single Exposure)</w:t>
      </w:r>
    </w:p>
    <w:p w:rsidR="00695529" w:rsidRPr="00695529" w:rsidRDefault="00695529" w:rsidP="00695529">
      <w:pPr>
        <w:spacing w:after="0" w:line="336" w:lineRule="atLeast"/>
        <w:ind w:left="1440"/>
        <w:rPr>
          <w:rFonts w:ascii="Arial" w:eastAsia="Times New Roman" w:hAnsi="Arial" w:cs="Arial"/>
          <w:color w:val="403F3C"/>
          <w:sz w:val="24"/>
          <w:szCs w:val="24"/>
        </w:rPr>
      </w:pPr>
      <w:r w:rsidRPr="00695529">
        <w:rPr>
          <w:rFonts w:ascii="Arial" w:eastAsia="Times New Roman" w:hAnsi="Arial" w:cs="Arial"/>
          <w:b/>
          <w:bCs/>
          <w:color w:val="403F3C"/>
          <w:sz w:val="20"/>
          <w:szCs w:val="20"/>
        </w:rPr>
        <w:t>SUSMP</w:t>
      </w:r>
      <w:r w:rsidRPr="00695529">
        <w:rPr>
          <w:rFonts w:ascii="Arial" w:eastAsia="Times New Roman" w:hAnsi="Arial" w:cs="Arial"/>
          <w:color w:val="403F3C"/>
          <w:sz w:val="20"/>
          <w:szCs w:val="20"/>
        </w:rPr>
        <w:t> – Standard for the uniform scheduling of medicines and poisons</w:t>
      </w:r>
    </w:p>
    <w:p w:rsidR="00695529" w:rsidRPr="00695529" w:rsidRDefault="00695529" w:rsidP="00695529">
      <w:pPr>
        <w:spacing w:after="0" w:line="336" w:lineRule="atLeast"/>
        <w:ind w:left="1440"/>
        <w:rPr>
          <w:rFonts w:ascii="Arial" w:eastAsia="Times New Roman" w:hAnsi="Arial" w:cs="Arial"/>
          <w:color w:val="403F3C"/>
          <w:sz w:val="24"/>
          <w:szCs w:val="24"/>
        </w:rPr>
      </w:pPr>
      <w:r w:rsidRPr="00695529">
        <w:rPr>
          <w:rFonts w:ascii="Arial" w:eastAsia="Times New Roman" w:hAnsi="Arial" w:cs="Arial"/>
          <w:b/>
          <w:bCs/>
          <w:color w:val="403F3C"/>
          <w:sz w:val="20"/>
          <w:szCs w:val="20"/>
        </w:rPr>
        <w:t>SWA</w:t>
      </w:r>
      <w:r w:rsidRPr="00695529">
        <w:rPr>
          <w:rFonts w:ascii="Arial" w:eastAsia="Times New Roman" w:hAnsi="Arial" w:cs="Arial"/>
          <w:color w:val="403F3C"/>
          <w:sz w:val="20"/>
          <w:szCs w:val="20"/>
        </w:rPr>
        <w:t> – Safe Work Australia</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Times New Roman" w:eastAsia="Times New Roman" w:hAnsi="Times New Roman" w:cs="Times New Roman"/>
          <w:color w:val="403F3C"/>
          <w:sz w:val="18"/>
          <w:szCs w:val="18"/>
        </w:rPr>
        <w:t>The information in this SDS was obtained from sources which we believe are reliable. However, the information is provided without any warranty, expressed or implied regarding its correctness. Some information presented and conclusions drawn herein are from sources other than direct test data on the substance itself. This SDS was prepared and is to be used only for the products listed. If the product is used as a component in another product, this SDS information may not be applicable. Users should make their own investigations to determine the suitability of the information or products for their particular purpose.</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Times New Roman" w:eastAsia="Times New Roman" w:hAnsi="Times New Roman" w:cs="Times New Roman"/>
          <w:color w:val="403F3C"/>
          <w:sz w:val="18"/>
          <w:szCs w:val="18"/>
        </w:rPr>
        <w:t>The conditions or methods of handling, storage, use and disposal or the product are beyond our control and may be beyond our knowledge. For this and other reasons, we do not assume responsibility and expressly disclaim liability for loss, damage, or expense arising out of or in any way connected with handling, storage, use, or disposal of the product</w:t>
      </w:r>
      <w:r w:rsidRPr="00695529">
        <w:rPr>
          <w:rFonts w:ascii="Times New Roman" w:eastAsia="Times New Roman" w:hAnsi="Times New Roman" w:cs="Times New Roman"/>
          <w:b/>
          <w:bCs/>
          <w:color w:val="403F3C"/>
          <w:sz w:val="18"/>
          <w:szCs w:val="18"/>
        </w:rPr>
        <w:t>.</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Helvetica" w:eastAsia="Times New Roman" w:hAnsi="Helvetica" w:cs="Helvetica"/>
          <w:color w:val="403F3C"/>
          <w:sz w:val="20"/>
          <w:szCs w:val="20"/>
        </w:rPr>
        <w:t>Prepared by:     Asphalt Systems Inc.</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Helvetica" w:eastAsia="Times New Roman" w:hAnsi="Helvetica" w:cs="Helvetica"/>
          <w:color w:val="403F3C"/>
          <w:sz w:val="20"/>
          <w:szCs w:val="20"/>
        </w:rPr>
        <w:t>                        P.O. Box 25511</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Helvetica" w:eastAsia="Times New Roman" w:hAnsi="Helvetica" w:cs="Helvetica"/>
          <w:color w:val="403F3C"/>
          <w:sz w:val="20"/>
          <w:szCs w:val="20"/>
        </w:rPr>
        <w:t>                        Salt Lake City, UT  84125</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Helvetica" w:eastAsia="Times New Roman" w:hAnsi="Helvetica" w:cs="Helvetica"/>
          <w:color w:val="403F3C"/>
          <w:sz w:val="20"/>
          <w:szCs w:val="20"/>
        </w:rPr>
        <w:t>                        801-972-2757</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Helvetica" w:eastAsia="Times New Roman" w:hAnsi="Helvetica" w:cs="Helvetica"/>
          <w:color w:val="403F3C"/>
          <w:sz w:val="20"/>
          <w:szCs w:val="20"/>
        </w:rPr>
        <w:t>                        Fax 801-972-6433</w:t>
      </w:r>
    </w:p>
    <w:p w:rsidR="00695529" w:rsidRPr="00695529" w:rsidRDefault="00695529" w:rsidP="00695529">
      <w:pPr>
        <w:spacing w:after="0" w:line="336" w:lineRule="atLeast"/>
        <w:rPr>
          <w:rFonts w:ascii="Arial" w:eastAsia="Times New Roman" w:hAnsi="Arial" w:cs="Arial"/>
          <w:color w:val="403F3C"/>
          <w:sz w:val="24"/>
          <w:szCs w:val="24"/>
        </w:rPr>
      </w:pPr>
      <w:r w:rsidRPr="00695529">
        <w:rPr>
          <w:rFonts w:ascii="Helvetica" w:eastAsia="Times New Roman" w:hAnsi="Helvetica" w:cs="Helvetica"/>
          <w:color w:val="403F3C"/>
          <w:sz w:val="20"/>
          <w:szCs w:val="20"/>
        </w:rPr>
        <w:t>                        www.asphaltsystemsinc.com</w:t>
      </w:r>
    </w:p>
    <w:p w:rsidR="003B604D" w:rsidRDefault="003B604D">
      <w:bookmarkStart w:id="0" w:name="_GoBack"/>
      <w:bookmarkEnd w:id="0"/>
    </w:p>
    <w:sectPr w:rsidR="003B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29"/>
    <w:rsid w:val="003B604D"/>
    <w:rsid w:val="0069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280DC-356E-482B-B682-5ADE89BA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5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5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5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529"/>
    <w:rPr>
      <w:b/>
      <w:bCs/>
    </w:rPr>
  </w:style>
  <w:style w:type="character" w:customStyle="1" w:styleId="apple-converted-space">
    <w:name w:val="apple-converted-space"/>
    <w:basedOn w:val="DefaultParagraphFont"/>
    <w:rsid w:val="0069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dc:creator>
  <cp:keywords/>
  <dc:description/>
  <cp:lastModifiedBy>John Wood</cp:lastModifiedBy>
  <cp:revision>1</cp:revision>
  <dcterms:created xsi:type="dcterms:W3CDTF">2016-11-22T19:44:00Z</dcterms:created>
  <dcterms:modified xsi:type="dcterms:W3CDTF">2016-11-22T19:50:00Z</dcterms:modified>
</cp:coreProperties>
</file>